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F105AC" w14:textId="3DF2AEDA" w:rsidR="00D73EC3" w:rsidRPr="002214DA" w:rsidRDefault="002214DA" w:rsidP="00592931">
      <w:pPr>
        <w:pStyle w:val="Heading1"/>
        <w:spacing w:before="240" w:after="240" w:line="360" w:lineRule="auto"/>
        <w:ind w:left="734" w:hanging="734"/>
        <w:rPr>
          <w:rFonts w:cs="Times New Roman"/>
          <w:lang w:val="en-GB"/>
        </w:rPr>
      </w:pPr>
      <w:bookmarkStart w:id="0" w:name="_Toc38217952"/>
      <w:r>
        <w:rPr>
          <w:rFonts w:cs="Times New Roman"/>
          <w:lang w:val="en-GB"/>
        </w:rPr>
        <w:t>Q</w:t>
      </w:r>
      <w:r w:rsidR="00D33B9F" w:rsidRPr="002214DA">
        <w:rPr>
          <w:rFonts w:cs="Times New Roman"/>
          <w:lang w:val="en-GB"/>
        </w:rPr>
        <w:t xml:space="preserve">UY ĐỊNH VỀ PHÒNG </w:t>
      </w:r>
      <w:bookmarkStart w:id="1" w:name="_GoBack"/>
      <w:bookmarkEnd w:id="1"/>
      <w:r w:rsidR="00D33B9F" w:rsidRPr="002214DA">
        <w:rPr>
          <w:rFonts w:cs="Times New Roman"/>
          <w:lang w:val="en-GB"/>
        </w:rPr>
        <w:t>VỆ THƯƠNG MẠI</w:t>
      </w:r>
      <w:r w:rsidR="00BE5599" w:rsidRPr="00592931">
        <w:rPr>
          <w:rStyle w:val="FootnoteReference"/>
          <w:rFonts w:cs="Times New Roman"/>
        </w:rPr>
        <w:footnoteReference w:id="2"/>
      </w:r>
      <w:bookmarkEnd w:id="0"/>
    </w:p>
    <w:p w14:paraId="62B04C02" w14:textId="27C215B6" w:rsidR="00283D8B" w:rsidRPr="00592931" w:rsidRDefault="00A25FDA" w:rsidP="00592931">
      <w:pPr>
        <w:pStyle w:val="ListParagraph"/>
        <w:numPr>
          <w:ilvl w:val="0"/>
          <w:numId w:val="38"/>
        </w:numPr>
        <w:autoSpaceDE w:val="0"/>
        <w:autoSpaceDN w:val="0"/>
        <w:adjustRightInd w:val="0"/>
        <w:spacing w:before="240" w:after="240" w:line="360" w:lineRule="auto"/>
        <w:ind w:hanging="720"/>
        <w:contextualSpacing w:val="0"/>
        <w:rPr>
          <w:color w:val="000000" w:themeColor="text1"/>
          <w:lang w:eastAsia="nl-BE"/>
        </w:rPr>
      </w:pPr>
      <w:r w:rsidRPr="00592931">
        <w:rPr>
          <w:color w:val="000000" w:themeColor="text1"/>
          <w:lang w:eastAsia="nl-BE"/>
        </w:rPr>
        <w:t xml:space="preserve">Theo quy định của EU, </w:t>
      </w:r>
      <w:r w:rsidR="00937ED1" w:rsidRPr="00592931">
        <w:rPr>
          <w:color w:val="000000" w:themeColor="text1"/>
          <w:lang w:eastAsia="nl-BE"/>
        </w:rPr>
        <w:t>c</w:t>
      </w:r>
      <w:r w:rsidR="006E13D1" w:rsidRPr="00592931">
        <w:rPr>
          <w:color w:val="000000" w:themeColor="text1"/>
          <w:lang w:eastAsia="nl-BE"/>
        </w:rPr>
        <w:t xml:space="preserve">ác </w:t>
      </w:r>
      <w:r w:rsidR="003F20CD" w:rsidRPr="00592931">
        <w:rPr>
          <w:color w:val="000000" w:themeColor="text1"/>
          <w:lang w:eastAsia="nl-BE"/>
        </w:rPr>
        <w:t>biện pháp phòng vệ thương mại bao gồm: Chống bán phá giá (Anti-dumping); Chống trợ cấp (Anti-</w:t>
      </w:r>
      <w:r w:rsidR="002A4147" w:rsidRPr="00592931">
        <w:rPr>
          <w:color w:val="000000" w:themeColor="text1"/>
          <w:lang w:eastAsia="nl-BE"/>
        </w:rPr>
        <w:t>subsidy) và Tự vệ (Safeguards)</w:t>
      </w:r>
      <w:r w:rsidR="00283D8B" w:rsidRPr="00592931">
        <w:rPr>
          <w:color w:val="000000" w:themeColor="text1"/>
          <w:lang w:eastAsia="nl-BE"/>
        </w:rPr>
        <w:t xml:space="preserve">. </w:t>
      </w:r>
      <w:r w:rsidR="00572C78" w:rsidRPr="00592931">
        <w:rPr>
          <w:color w:val="000000" w:themeColor="text1"/>
          <w:lang w:eastAsia="nl-BE"/>
        </w:rPr>
        <w:t xml:space="preserve">Các quy định về phòng vệ thương mại </w:t>
      </w:r>
      <w:r w:rsidR="00BF062C" w:rsidRPr="00592931">
        <w:rPr>
          <w:color w:val="000000" w:themeColor="text1"/>
          <w:lang w:eastAsia="nl-BE"/>
        </w:rPr>
        <w:t xml:space="preserve">của EU </w:t>
      </w:r>
      <w:r w:rsidR="006144AA" w:rsidRPr="00592931">
        <w:rPr>
          <w:color w:val="000000" w:themeColor="text1"/>
          <w:lang w:eastAsia="nl-BE"/>
        </w:rPr>
        <w:t xml:space="preserve">thông thường nằm trong các Regulations, </w:t>
      </w:r>
      <w:r w:rsidR="00572C78" w:rsidRPr="00592931">
        <w:rPr>
          <w:color w:val="000000" w:themeColor="text1"/>
          <w:lang w:eastAsia="nl-BE"/>
        </w:rPr>
        <w:t>dựa trên các nguyên tắc của WTO</w:t>
      </w:r>
      <w:r w:rsidR="008B0CB7" w:rsidRPr="00592931">
        <w:rPr>
          <w:rStyle w:val="FootnoteReference"/>
          <w:color w:val="000000" w:themeColor="text1"/>
          <w:lang w:eastAsia="nl-BE"/>
        </w:rPr>
        <w:footnoteReference w:id="3"/>
      </w:r>
      <w:r w:rsidR="00572C78" w:rsidRPr="00592931">
        <w:rPr>
          <w:color w:val="000000" w:themeColor="text1"/>
          <w:lang w:eastAsia="nl-BE"/>
        </w:rPr>
        <w:t>, được bổ sung thêm các điều kiện</w:t>
      </w:r>
      <w:r w:rsidR="005074AB" w:rsidRPr="00592931">
        <w:rPr>
          <w:color w:val="000000" w:themeColor="text1"/>
          <w:lang w:eastAsia="nl-BE"/>
        </w:rPr>
        <w:t xml:space="preserve"> khác phù hợp với EU.</w:t>
      </w:r>
    </w:p>
    <w:p w14:paraId="2DDD7C1E" w14:textId="77777777" w:rsidR="001061D4" w:rsidRPr="00592931" w:rsidRDefault="00283D8B" w:rsidP="00592931">
      <w:pPr>
        <w:pStyle w:val="ListParagraph"/>
        <w:numPr>
          <w:ilvl w:val="0"/>
          <w:numId w:val="38"/>
        </w:numPr>
        <w:autoSpaceDE w:val="0"/>
        <w:autoSpaceDN w:val="0"/>
        <w:adjustRightInd w:val="0"/>
        <w:spacing w:before="240" w:after="240" w:line="360" w:lineRule="auto"/>
        <w:ind w:hanging="720"/>
        <w:contextualSpacing w:val="0"/>
        <w:rPr>
          <w:color w:val="000000" w:themeColor="text1"/>
          <w:lang w:eastAsia="nl-BE"/>
        </w:rPr>
      </w:pPr>
      <w:r w:rsidRPr="00592931">
        <w:rPr>
          <w:color w:val="000000" w:themeColor="text1"/>
          <w:lang w:eastAsia="nl-BE"/>
        </w:rPr>
        <w:t>Về Chống bán phá giá (Anti-dumping)</w:t>
      </w:r>
      <w:r w:rsidR="001061D4" w:rsidRPr="00592931">
        <w:rPr>
          <w:color w:val="000000" w:themeColor="text1"/>
          <w:lang w:eastAsia="nl-BE"/>
        </w:rPr>
        <w:t>:</w:t>
      </w:r>
    </w:p>
    <w:p w14:paraId="55B87A7B" w14:textId="0DC5B241" w:rsidR="001061D4" w:rsidRPr="00592931" w:rsidRDefault="00500536" w:rsidP="00592931">
      <w:pPr>
        <w:pStyle w:val="ListParagraph"/>
        <w:numPr>
          <w:ilvl w:val="0"/>
          <w:numId w:val="39"/>
        </w:numPr>
        <w:autoSpaceDE w:val="0"/>
        <w:autoSpaceDN w:val="0"/>
        <w:adjustRightInd w:val="0"/>
        <w:spacing w:before="240" w:after="240" w:line="360" w:lineRule="auto"/>
        <w:contextualSpacing w:val="0"/>
        <w:rPr>
          <w:color w:val="000000" w:themeColor="text1"/>
          <w:lang w:eastAsia="nl-BE"/>
        </w:rPr>
      </w:pPr>
      <w:r w:rsidRPr="00592931">
        <w:rPr>
          <w:color w:val="000000" w:themeColor="text1"/>
          <w:lang w:eastAsia="nl-BE"/>
        </w:rPr>
        <w:t>Căn cứ pháp lý: Quy định</w:t>
      </w:r>
      <w:r w:rsidR="006144AA" w:rsidRPr="00592931">
        <w:rPr>
          <w:color w:val="000000" w:themeColor="text1"/>
          <w:lang w:eastAsia="nl-BE"/>
        </w:rPr>
        <w:t xml:space="preserve"> (Regulation)</w:t>
      </w:r>
      <w:r w:rsidRPr="00592931">
        <w:rPr>
          <w:color w:val="000000" w:themeColor="text1"/>
          <w:lang w:eastAsia="nl-BE"/>
        </w:rPr>
        <w:t xml:space="preserve"> </w:t>
      </w:r>
      <w:r w:rsidR="003A2A05" w:rsidRPr="00592931">
        <w:rPr>
          <w:color w:val="000000" w:themeColor="text1"/>
          <w:lang w:eastAsia="nl-BE"/>
        </w:rPr>
        <w:t>2016/1036</w:t>
      </w:r>
      <w:r w:rsidR="00301C90" w:rsidRPr="00592931">
        <w:rPr>
          <w:color w:val="000000" w:themeColor="text1"/>
          <w:lang w:eastAsia="nl-BE"/>
        </w:rPr>
        <w:t xml:space="preserve"> ngày </w:t>
      </w:r>
      <w:r w:rsidR="003A2A05" w:rsidRPr="00592931">
        <w:rPr>
          <w:color w:val="000000" w:themeColor="text1"/>
          <w:lang w:eastAsia="nl-BE"/>
        </w:rPr>
        <w:t>08/06</w:t>
      </w:r>
      <w:r w:rsidR="00301C90" w:rsidRPr="00592931">
        <w:rPr>
          <w:color w:val="000000" w:themeColor="text1"/>
          <w:lang w:eastAsia="nl-BE"/>
        </w:rPr>
        <w:t>/20</w:t>
      </w:r>
      <w:r w:rsidR="003A2A05" w:rsidRPr="00592931">
        <w:rPr>
          <w:color w:val="000000" w:themeColor="text1"/>
          <w:lang w:eastAsia="nl-BE"/>
        </w:rPr>
        <w:t>16</w:t>
      </w:r>
      <w:r w:rsidR="00301C90" w:rsidRPr="00592931">
        <w:rPr>
          <w:color w:val="000000" w:themeColor="text1"/>
          <w:lang w:eastAsia="nl-BE"/>
        </w:rPr>
        <w:t xml:space="preserve"> của </w:t>
      </w:r>
      <w:r w:rsidR="003A2A05" w:rsidRPr="00592931">
        <w:rPr>
          <w:color w:val="000000" w:themeColor="text1"/>
          <w:lang w:eastAsia="nl-BE"/>
        </w:rPr>
        <w:t xml:space="preserve">Nghị viện và </w:t>
      </w:r>
      <w:r w:rsidR="00301C90" w:rsidRPr="00592931">
        <w:rPr>
          <w:color w:val="000000" w:themeColor="text1"/>
          <w:lang w:eastAsia="nl-BE"/>
        </w:rPr>
        <w:t xml:space="preserve">Hội đồng Châu Âu về việc </w:t>
      </w:r>
      <w:r w:rsidR="003D5AE4" w:rsidRPr="00592931">
        <w:rPr>
          <w:color w:val="000000" w:themeColor="text1"/>
          <w:lang w:eastAsia="nl-BE"/>
        </w:rPr>
        <w:t xml:space="preserve">chống nhập khẩu </w:t>
      </w:r>
      <w:r w:rsidR="00EF0E5F" w:rsidRPr="00592931">
        <w:rPr>
          <w:color w:val="000000" w:themeColor="text1"/>
          <w:lang w:eastAsia="nl-BE"/>
        </w:rPr>
        <w:t xml:space="preserve">hàng hóa </w:t>
      </w:r>
      <w:r w:rsidR="003D5AE4" w:rsidRPr="00592931">
        <w:rPr>
          <w:color w:val="000000" w:themeColor="text1"/>
          <w:lang w:eastAsia="nl-BE"/>
        </w:rPr>
        <w:t>phá giá từ các quốc gia không phải thành viên của EU</w:t>
      </w:r>
      <w:r w:rsidR="00014FF1" w:rsidRPr="00592931">
        <w:rPr>
          <w:rStyle w:val="FootnoteReference"/>
          <w:color w:val="000000" w:themeColor="text1"/>
          <w:lang w:eastAsia="nl-BE"/>
        </w:rPr>
        <w:footnoteReference w:id="4"/>
      </w:r>
      <w:r w:rsidR="00737AC6" w:rsidRPr="00592931">
        <w:rPr>
          <w:color w:val="000000" w:themeColor="text1"/>
          <w:lang w:eastAsia="nl-BE"/>
        </w:rPr>
        <w:t>, được sửa đổi theo Quy định 201</w:t>
      </w:r>
      <w:r w:rsidR="00133E29" w:rsidRPr="00592931">
        <w:rPr>
          <w:color w:val="000000" w:themeColor="text1"/>
          <w:lang w:eastAsia="nl-BE"/>
        </w:rPr>
        <w:t>7</w:t>
      </w:r>
      <w:r w:rsidR="00737AC6" w:rsidRPr="00592931">
        <w:rPr>
          <w:color w:val="000000" w:themeColor="text1"/>
          <w:lang w:eastAsia="nl-BE"/>
        </w:rPr>
        <w:t>/</w:t>
      </w:r>
      <w:r w:rsidR="00133E29" w:rsidRPr="00592931">
        <w:rPr>
          <w:color w:val="000000" w:themeColor="text1"/>
          <w:lang w:eastAsia="nl-BE"/>
        </w:rPr>
        <w:t>2321</w:t>
      </w:r>
      <w:r w:rsidR="00737AC6" w:rsidRPr="00592931">
        <w:rPr>
          <w:color w:val="000000" w:themeColor="text1"/>
          <w:lang w:eastAsia="nl-BE"/>
        </w:rPr>
        <w:t xml:space="preserve"> ngày </w:t>
      </w:r>
      <w:r w:rsidR="00133E29" w:rsidRPr="00592931">
        <w:rPr>
          <w:color w:val="000000" w:themeColor="text1"/>
          <w:lang w:eastAsia="nl-BE"/>
        </w:rPr>
        <w:t>12/12/2017</w:t>
      </w:r>
      <w:r w:rsidR="00737AC6" w:rsidRPr="00592931">
        <w:rPr>
          <w:color w:val="000000" w:themeColor="text1"/>
          <w:lang w:eastAsia="nl-BE"/>
        </w:rPr>
        <w:t xml:space="preserve"> của Nghị viện và Hội đồng Châu Âu</w:t>
      </w:r>
      <w:r w:rsidR="007B341C" w:rsidRPr="00592931">
        <w:rPr>
          <w:rStyle w:val="FootnoteReference"/>
          <w:color w:val="000000" w:themeColor="text1"/>
          <w:lang w:eastAsia="nl-BE"/>
        </w:rPr>
        <w:footnoteReference w:id="5"/>
      </w:r>
      <w:r w:rsidR="00F77B3C" w:rsidRPr="00592931">
        <w:rPr>
          <w:color w:val="000000" w:themeColor="text1"/>
          <w:lang w:eastAsia="nl-BE"/>
        </w:rPr>
        <w:t xml:space="preserve"> và Quy định 201</w:t>
      </w:r>
      <w:r w:rsidR="00624DFE" w:rsidRPr="00592931">
        <w:rPr>
          <w:color w:val="000000" w:themeColor="text1"/>
          <w:lang w:eastAsia="nl-BE"/>
        </w:rPr>
        <w:t>8</w:t>
      </w:r>
      <w:r w:rsidR="00F77B3C" w:rsidRPr="00592931">
        <w:rPr>
          <w:color w:val="000000" w:themeColor="text1"/>
          <w:lang w:eastAsia="nl-BE"/>
        </w:rPr>
        <w:t>/</w:t>
      </w:r>
      <w:r w:rsidR="00624DFE" w:rsidRPr="00592931">
        <w:rPr>
          <w:color w:val="000000" w:themeColor="text1"/>
          <w:lang w:eastAsia="nl-BE"/>
        </w:rPr>
        <w:t>825</w:t>
      </w:r>
      <w:r w:rsidR="00F77B3C" w:rsidRPr="00592931">
        <w:rPr>
          <w:color w:val="000000" w:themeColor="text1"/>
          <w:lang w:eastAsia="nl-BE"/>
        </w:rPr>
        <w:t xml:space="preserve"> ngày </w:t>
      </w:r>
      <w:r w:rsidR="00624DFE" w:rsidRPr="00592931">
        <w:rPr>
          <w:color w:val="000000" w:themeColor="text1"/>
          <w:lang w:eastAsia="nl-BE"/>
        </w:rPr>
        <w:t>30/05/2018</w:t>
      </w:r>
      <w:r w:rsidR="00F77B3C" w:rsidRPr="00592931">
        <w:rPr>
          <w:color w:val="000000" w:themeColor="text1"/>
          <w:lang w:eastAsia="nl-BE"/>
        </w:rPr>
        <w:t xml:space="preserve"> của Nghị viện và Hội đồng Châu Âu</w:t>
      </w:r>
      <w:r w:rsidR="00624DFE" w:rsidRPr="00592931">
        <w:rPr>
          <w:rStyle w:val="FootnoteReference"/>
          <w:color w:val="000000" w:themeColor="text1"/>
          <w:lang w:eastAsia="nl-BE"/>
        </w:rPr>
        <w:footnoteReference w:id="6"/>
      </w:r>
      <w:r w:rsidR="009D4CCF" w:rsidRPr="00592931">
        <w:rPr>
          <w:color w:val="000000" w:themeColor="text1"/>
          <w:lang w:eastAsia="nl-BE"/>
        </w:rPr>
        <w:t>.</w:t>
      </w:r>
    </w:p>
    <w:p w14:paraId="599E84F8" w14:textId="25BBACD2" w:rsidR="00857ED0" w:rsidRPr="00592931" w:rsidRDefault="00857ED0" w:rsidP="00592931">
      <w:pPr>
        <w:pStyle w:val="ListParagraph"/>
        <w:autoSpaceDE w:val="0"/>
        <w:autoSpaceDN w:val="0"/>
        <w:adjustRightInd w:val="0"/>
        <w:spacing w:before="240" w:after="240" w:line="360" w:lineRule="auto"/>
        <w:ind w:left="1440"/>
        <w:contextualSpacing w:val="0"/>
        <w:rPr>
          <w:color w:val="000000" w:themeColor="text1"/>
          <w:lang w:eastAsia="nl-BE"/>
        </w:rPr>
      </w:pPr>
      <w:r w:rsidRPr="00592931">
        <w:rPr>
          <w:color w:val="000000" w:themeColor="text1"/>
          <w:lang w:eastAsia="nl-BE"/>
        </w:rPr>
        <w:t>Ngoài ra, Ủy ban Châu Âu cũng đã ban hành Thông báo 2014/C164/09 về việc hoàn tiền đối với nghĩa vụ chống bán phá giá</w:t>
      </w:r>
      <w:r w:rsidRPr="00592931">
        <w:rPr>
          <w:rStyle w:val="FootnoteReference"/>
          <w:color w:val="000000" w:themeColor="text1"/>
          <w:lang w:eastAsia="nl-BE"/>
        </w:rPr>
        <w:footnoteReference w:id="7"/>
      </w:r>
      <w:r w:rsidRPr="00592931">
        <w:rPr>
          <w:color w:val="000000" w:themeColor="text1"/>
          <w:lang w:eastAsia="nl-BE"/>
        </w:rPr>
        <w:t>.</w:t>
      </w:r>
    </w:p>
    <w:p w14:paraId="5CA06684" w14:textId="0E76277D" w:rsidR="008809DD" w:rsidRPr="00592931" w:rsidRDefault="008809DD" w:rsidP="00592931">
      <w:pPr>
        <w:pStyle w:val="ListParagraph"/>
        <w:numPr>
          <w:ilvl w:val="0"/>
          <w:numId w:val="39"/>
        </w:numPr>
        <w:autoSpaceDE w:val="0"/>
        <w:autoSpaceDN w:val="0"/>
        <w:adjustRightInd w:val="0"/>
        <w:spacing w:before="240" w:after="240" w:line="360" w:lineRule="auto"/>
        <w:contextualSpacing w:val="0"/>
        <w:rPr>
          <w:color w:val="000000" w:themeColor="text1"/>
          <w:lang w:eastAsia="nl-BE"/>
        </w:rPr>
      </w:pPr>
      <w:r w:rsidRPr="00592931">
        <w:rPr>
          <w:color w:val="000000" w:themeColor="text1"/>
          <w:lang w:eastAsia="nl-BE"/>
        </w:rPr>
        <w:t xml:space="preserve">Quy định này </w:t>
      </w:r>
      <w:r w:rsidR="00AB1A49" w:rsidRPr="00592931">
        <w:rPr>
          <w:color w:val="000000" w:themeColor="text1"/>
          <w:lang w:eastAsia="nl-BE"/>
        </w:rPr>
        <w:t>tuân thủ quy định của WTO về chống bán phá giá</w:t>
      </w:r>
      <w:r w:rsidR="00AB1A49" w:rsidRPr="00592931">
        <w:rPr>
          <w:rStyle w:val="FootnoteReference"/>
          <w:color w:val="000000" w:themeColor="text1"/>
          <w:lang w:eastAsia="nl-BE"/>
        </w:rPr>
        <w:footnoteReference w:id="8"/>
      </w:r>
      <w:r w:rsidR="00AB1A49" w:rsidRPr="00592931">
        <w:rPr>
          <w:color w:val="000000" w:themeColor="text1"/>
          <w:lang w:eastAsia="nl-BE"/>
        </w:rPr>
        <w:t>.</w:t>
      </w:r>
    </w:p>
    <w:p w14:paraId="0B4BEA7D" w14:textId="11EC65CA" w:rsidR="008C2A35" w:rsidRPr="00592931" w:rsidRDefault="008C2A35" w:rsidP="00592931">
      <w:pPr>
        <w:pStyle w:val="ListParagraph"/>
        <w:numPr>
          <w:ilvl w:val="0"/>
          <w:numId w:val="39"/>
        </w:numPr>
        <w:autoSpaceDE w:val="0"/>
        <w:autoSpaceDN w:val="0"/>
        <w:adjustRightInd w:val="0"/>
        <w:spacing w:before="240" w:after="240" w:line="360" w:lineRule="auto"/>
        <w:contextualSpacing w:val="0"/>
        <w:rPr>
          <w:color w:val="000000" w:themeColor="text1"/>
          <w:lang w:eastAsia="nl-BE"/>
        </w:rPr>
      </w:pPr>
      <w:r w:rsidRPr="00592931">
        <w:rPr>
          <w:color w:val="000000" w:themeColor="text1"/>
          <w:lang w:eastAsia="nl-BE"/>
        </w:rPr>
        <w:t xml:space="preserve">Bán phá giá xảy ra khi </w:t>
      </w:r>
      <w:r w:rsidR="00E766A6" w:rsidRPr="00592931">
        <w:rPr>
          <w:color w:val="000000" w:themeColor="text1"/>
          <w:lang w:eastAsia="nl-BE"/>
        </w:rPr>
        <w:t xml:space="preserve">người bán (từ các quốc gia không phải thành viên EU) bán </w:t>
      </w:r>
      <w:r w:rsidR="0011594E" w:rsidRPr="00592931">
        <w:rPr>
          <w:color w:val="000000" w:themeColor="text1"/>
          <w:lang w:eastAsia="nl-BE"/>
        </w:rPr>
        <w:t>hàng hóa</w:t>
      </w:r>
      <w:r w:rsidR="00E766A6" w:rsidRPr="00592931">
        <w:rPr>
          <w:color w:val="000000" w:themeColor="text1"/>
          <w:lang w:eastAsia="nl-BE"/>
        </w:rPr>
        <w:t xml:space="preserve"> thấp hơn giá thị trường</w:t>
      </w:r>
      <w:r w:rsidR="00C14A2D" w:rsidRPr="00592931">
        <w:rPr>
          <w:color w:val="000000" w:themeColor="text1"/>
          <w:lang w:eastAsia="nl-BE"/>
        </w:rPr>
        <w:t xml:space="preserve"> hoặc thấp hơn giá sản xuất. Trong trường hợp Ủy ban Châu Âu, thông qua điều tra (investigation) có thể xác định rằng việc bán phá giá này đang xảy ra</w:t>
      </w:r>
      <w:r w:rsidR="00BE5599" w:rsidRPr="00592931">
        <w:rPr>
          <w:color w:val="000000" w:themeColor="text1"/>
          <w:lang w:eastAsia="nl-BE"/>
        </w:rPr>
        <w:t>, Ủy ban Châu Âu</w:t>
      </w:r>
      <w:r w:rsidR="00783E4A" w:rsidRPr="00592931">
        <w:rPr>
          <w:color w:val="000000" w:themeColor="text1"/>
          <w:lang w:eastAsia="nl-BE"/>
        </w:rPr>
        <w:t xml:space="preserve"> sẽ áp dụng các biện pháp chống phá giá để bảo vệ và hạn chế tổn thất cho các công ty EU</w:t>
      </w:r>
      <w:r w:rsidR="00FF275B" w:rsidRPr="00592931">
        <w:rPr>
          <w:color w:val="000000" w:themeColor="text1"/>
          <w:lang w:eastAsia="nl-BE"/>
        </w:rPr>
        <w:t xml:space="preserve">. Thông thường, các biện pháp này sẽ là áp thuế nhập khẩu cho các </w:t>
      </w:r>
      <w:r w:rsidR="007D6098" w:rsidRPr="00592931">
        <w:rPr>
          <w:color w:val="000000" w:themeColor="text1"/>
          <w:lang w:eastAsia="nl-BE"/>
        </w:rPr>
        <w:t>hàng hóa</w:t>
      </w:r>
      <w:r w:rsidR="00FF275B" w:rsidRPr="00592931">
        <w:rPr>
          <w:color w:val="000000" w:themeColor="text1"/>
          <w:lang w:eastAsia="nl-BE"/>
        </w:rPr>
        <w:t xml:space="preserve"> từ các quốc gia này. </w:t>
      </w:r>
      <w:r w:rsidR="001021C6" w:rsidRPr="00592931">
        <w:rPr>
          <w:color w:val="000000" w:themeColor="text1"/>
          <w:lang w:eastAsia="nl-BE"/>
        </w:rPr>
        <w:t xml:space="preserve">Mức thuế này có thể là cố định, </w:t>
      </w:r>
      <w:r w:rsidR="002953E7" w:rsidRPr="00592931">
        <w:rPr>
          <w:color w:val="000000" w:themeColor="text1"/>
          <w:lang w:eastAsia="nl-BE"/>
        </w:rPr>
        <w:t xml:space="preserve">tùy từng trường hợp hoặc là </w:t>
      </w:r>
      <w:r w:rsidR="002953E7" w:rsidRPr="00592931">
        <w:rPr>
          <w:color w:val="000000" w:themeColor="text1"/>
          <w:lang w:eastAsia="nl-BE"/>
        </w:rPr>
        <w:lastRenderedPageBreak/>
        <w:t>phần trăm trên tổng giá hàng hóa. Các biện pháp này có thể kéo dài đến 06 tháng</w:t>
      </w:r>
      <w:r w:rsidR="00BA617B" w:rsidRPr="00592931">
        <w:rPr>
          <w:color w:val="000000" w:themeColor="text1"/>
          <w:lang w:eastAsia="nl-BE"/>
        </w:rPr>
        <w:t xml:space="preserve"> hoặc thậm chí đến 05 năm, tùy theo quyết định của Ủy ban Châu Âu.</w:t>
      </w:r>
    </w:p>
    <w:p w14:paraId="3ADDB9D9" w14:textId="5901C3EE" w:rsidR="001061D4" w:rsidRPr="002A7162" w:rsidRDefault="001061D4" w:rsidP="00592931">
      <w:pPr>
        <w:pStyle w:val="ListParagraph"/>
        <w:numPr>
          <w:ilvl w:val="0"/>
          <w:numId w:val="38"/>
        </w:numPr>
        <w:autoSpaceDE w:val="0"/>
        <w:autoSpaceDN w:val="0"/>
        <w:adjustRightInd w:val="0"/>
        <w:spacing w:before="240" w:after="240" w:line="360" w:lineRule="auto"/>
        <w:ind w:hanging="720"/>
        <w:contextualSpacing w:val="0"/>
        <w:rPr>
          <w:color w:val="000000" w:themeColor="text1"/>
          <w:lang w:val="en-US" w:eastAsia="nl-BE"/>
        </w:rPr>
      </w:pPr>
      <w:r w:rsidRPr="002A7162">
        <w:rPr>
          <w:color w:val="000000" w:themeColor="text1"/>
          <w:lang w:val="en-US" w:eastAsia="nl-BE"/>
        </w:rPr>
        <w:t>Về Chống trợ cấp (Anti-subsidy):</w:t>
      </w:r>
    </w:p>
    <w:p w14:paraId="33C661D2" w14:textId="3E806D56" w:rsidR="00BA617B" w:rsidRPr="002A7162" w:rsidRDefault="00BA617B" w:rsidP="00592931">
      <w:pPr>
        <w:pStyle w:val="ListParagraph"/>
        <w:numPr>
          <w:ilvl w:val="0"/>
          <w:numId w:val="40"/>
        </w:numPr>
        <w:autoSpaceDE w:val="0"/>
        <w:autoSpaceDN w:val="0"/>
        <w:adjustRightInd w:val="0"/>
        <w:spacing w:before="240" w:after="240" w:line="360" w:lineRule="auto"/>
        <w:contextualSpacing w:val="0"/>
        <w:rPr>
          <w:color w:val="000000" w:themeColor="text1"/>
          <w:lang w:val="en-US" w:eastAsia="nl-BE"/>
        </w:rPr>
      </w:pPr>
      <w:r w:rsidRPr="002A7162">
        <w:rPr>
          <w:color w:val="000000" w:themeColor="text1"/>
          <w:lang w:val="en-US" w:eastAsia="nl-BE"/>
        </w:rPr>
        <w:t>Căn cứ pháp lý</w:t>
      </w:r>
      <w:r w:rsidR="00677286" w:rsidRPr="002A7162">
        <w:rPr>
          <w:color w:val="000000" w:themeColor="text1"/>
          <w:lang w:val="en-US" w:eastAsia="nl-BE"/>
        </w:rPr>
        <w:t xml:space="preserve">: Quy định 2016/1037 ngày 08/06/2016 của Nghị viện và Hội đồng Châu Âu về việc chống nhập khẩu hàng hóa </w:t>
      </w:r>
      <w:r w:rsidR="009E4696" w:rsidRPr="002A7162">
        <w:rPr>
          <w:color w:val="000000" w:themeColor="text1"/>
          <w:lang w:val="en-US" w:eastAsia="nl-BE"/>
        </w:rPr>
        <w:t>trợ cấp</w:t>
      </w:r>
      <w:r w:rsidR="00677286" w:rsidRPr="002A7162">
        <w:rPr>
          <w:color w:val="000000" w:themeColor="text1"/>
          <w:lang w:val="en-US" w:eastAsia="nl-BE"/>
        </w:rPr>
        <w:t xml:space="preserve"> từ các quốc gia không phải thành viên của EU</w:t>
      </w:r>
      <w:r w:rsidRPr="00592931">
        <w:rPr>
          <w:rStyle w:val="FootnoteReference"/>
          <w:color w:val="000000" w:themeColor="text1"/>
          <w:lang w:eastAsia="nl-BE"/>
        </w:rPr>
        <w:footnoteReference w:id="9"/>
      </w:r>
      <w:r w:rsidR="00710242" w:rsidRPr="002A7162">
        <w:rPr>
          <w:color w:val="000000" w:themeColor="text1"/>
          <w:lang w:val="en-US" w:eastAsia="nl-BE"/>
        </w:rPr>
        <w:t>, được sửa đổi theo Quy định 2017/2321 ngày 12/12/2017 của Nghị viện và Hội đồng Châu Âu</w:t>
      </w:r>
      <w:r w:rsidR="00710242" w:rsidRPr="00592931">
        <w:rPr>
          <w:rStyle w:val="FootnoteReference"/>
          <w:color w:val="000000" w:themeColor="text1"/>
          <w:lang w:eastAsia="nl-BE"/>
        </w:rPr>
        <w:footnoteReference w:id="10"/>
      </w:r>
      <w:r w:rsidR="00EA3920" w:rsidRPr="002A7162">
        <w:rPr>
          <w:color w:val="000000" w:themeColor="text1"/>
          <w:lang w:val="en-US" w:eastAsia="nl-BE"/>
        </w:rPr>
        <w:t xml:space="preserve"> và Quy định 2018/825 ngày 30/05/2018 của Nghị viện và Hội đồng Châu Âu</w:t>
      </w:r>
      <w:r w:rsidR="00EA3920" w:rsidRPr="00592931">
        <w:rPr>
          <w:rStyle w:val="FootnoteReference"/>
          <w:color w:val="000000" w:themeColor="text1"/>
          <w:lang w:eastAsia="nl-BE"/>
        </w:rPr>
        <w:footnoteReference w:id="11"/>
      </w:r>
      <w:r w:rsidR="00EA3920" w:rsidRPr="002A7162">
        <w:rPr>
          <w:color w:val="000000" w:themeColor="text1"/>
          <w:lang w:val="en-US" w:eastAsia="nl-BE"/>
        </w:rPr>
        <w:t>.</w:t>
      </w:r>
    </w:p>
    <w:p w14:paraId="5A1ED4B4" w14:textId="59F4DBB6" w:rsidR="00CA30DC" w:rsidRPr="002A7162" w:rsidRDefault="00CA30DC" w:rsidP="00592931">
      <w:pPr>
        <w:pStyle w:val="ListParagraph"/>
        <w:numPr>
          <w:ilvl w:val="0"/>
          <w:numId w:val="40"/>
        </w:numPr>
        <w:autoSpaceDE w:val="0"/>
        <w:autoSpaceDN w:val="0"/>
        <w:adjustRightInd w:val="0"/>
        <w:spacing w:before="240" w:after="240" w:line="360" w:lineRule="auto"/>
        <w:contextualSpacing w:val="0"/>
        <w:rPr>
          <w:color w:val="000000" w:themeColor="text1"/>
          <w:lang w:val="en-US" w:eastAsia="nl-BE"/>
        </w:rPr>
      </w:pPr>
      <w:r w:rsidRPr="002A7162">
        <w:rPr>
          <w:color w:val="000000" w:themeColor="text1"/>
          <w:lang w:val="en-US" w:eastAsia="nl-BE"/>
        </w:rPr>
        <w:t xml:space="preserve">Quy định này tuân thủ quy định của WTO về chống </w:t>
      </w:r>
      <w:r w:rsidR="009E4696" w:rsidRPr="002A7162">
        <w:rPr>
          <w:color w:val="000000" w:themeColor="text1"/>
          <w:lang w:val="en-US" w:eastAsia="nl-BE"/>
        </w:rPr>
        <w:t>trợ cấp</w:t>
      </w:r>
      <w:r w:rsidRPr="00592931">
        <w:rPr>
          <w:rStyle w:val="FootnoteReference"/>
          <w:color w:val="000000" w:themeColor="text1"/>
          <w:lang w:eastAsia="nl-BE"/>
        </w:rPr>
        <w:footnoteReference w:id="12"/>
      </w:r>
      <w:r w:rsidR="009E4696" w:rsidRPr="002A7162">
        <w:rPr>
          <w:color w:val="000000" w:themeColor="text1"/>
          <w:lang w:val="en-US" w:eastAsia="nl-BE"/>
        </w:rPr>
        <w:t>.</w:t>
      </w:r>
    </w:p>
    <w:p w14:paraId="46483C64" w14:textId="459CBE3A" w:rsidR="002D0231" w:rsidRPr="002A7162" w:rsidRDefault="00E61375" w:rsidP="00592931">
      <w:pPr>
        <w:pStyle w:val="ListParagraph"/>
        <w:numPr>
          <w:ilvl w:val="0"/>
          <w:numId w:val="40"/>
        </w:numPr>
        <w:autoSpaceDE w:val="0"/>
        <w:autoSpaceDN w:val="0"/>
        <w:adjustRightInd w:val="0"/>
        <w:spacing w:before="240" w:after="240" w:line="360" w:lineRule="auto"/>
        <w:contextualSpacing w:val="0"/>
        <w:rPr>
          <w:color w:val="000000" w:themeColor="text1"/>
          <w:lang w:val="en-US" w:eastAsia="nl-BE"/>
        </w:rPr>
      </w:pPr>
      <w:r w:rsidRPr="002A7162">
        <w:rPr>
          <w:color w:val="000000" w:themeColor="text1"/>
          <w:lang w:val="en-US" w:eastAsia="nl-BE"/>
        </w:rPr>
        <w:t>Trợ cấp là khi chính phủ một quốc gia không phải thành viên EU</w:t>
      </w:r>
      <w:r w:rsidR="00296BE7" w:rsidRPr="002A7162">
        <w:rPr>
          <w:color w:val="000000" w:themeColor="text1"/>
          <w:lang w:val="en-US" w:eastAsia="nl-BE"/>
        </w:rPr>
        <w:t xml:space="preserve"> cung cấp hỗ trợ tài chính cho các công ty sản xuất hoặc xuất khẩu hàng hóa. Ủy ban Châu Âu </w:t>
      </w:r>
      <w:r w:rsidR="00A8026E" w:rsidRPr="002A7162">
        <w:rPr>
          <w:color w:val="000000" w:themeColor="text1"/>
          <w:lang w:val="en-US" w:eastAsia="nl-BE"/>
        </w:rPr>
        <w:t>được quyền loại bỏ tất cả tác động</w:t>
      </w:r>
      <w:r w:rsidR="00982DE5" w:rsidRPr="002A7162">
        <w:rPr>
          <w:color w:val="000000" w:themeColor="text1"/>
          <w:lang w:val="en-US" w:eastAsia="nl-BE"/>
        </w:rPr>
        <w:t xml:space="preserve"> tiêu cực đến thương mại của các biện pháp trợ cấp này trên thị trường EU, sau khi tiến hành điều tra xem liệu trợ cấp có công bằng hoặc làm tổn hại đến các doanh nghiệp của EU hay không. </w:t>
      </w:r>
      <w:r w:rsidR="000E434C" w:rsidRPr="002A7162">
        <w:rPr>
          <w:color w:val="000000" w:themeColor="text1"/>
          <w:lang w:val="en-US" w:eastAsia="nl-BE"/>
        </w:rPr>
        <w:t xml:space="preserve">Các biện pháp chống trợ cấp sẽ là áp thuế nhập khẩu cho các </w:t>
      </w:r>
      <w:r w:rsidR="007D6098" w:rsidRPr="002A7162">
        <w:rPr>
          <w:color w:val="000000" w:themeColor="text1"/>
          <w:lang w:val="en-US" w:eastAsia="nl-BE"/>
        </w:rPr>
        <w:t>hàng hóa</w:t>
      </w:r>
      <w:r w:rsidR="000E434C" w:rsidRPr="002A7162">
        <w:rPr>
          <w:color w:val="000000" w:themeColor="text1"/>
          <w:lang w:val="en-US" w:eastAsia="nl-BE"/>
        </w:rPr>
        <w:t xml:space="preserve"> từ các quốc gia này. Mức thuế này có thể là cố định, tùy từng trường hợp hoặc là phần trăm trên tổng giá hàng hóa. Các biện pháp này có thể kéo dài đến 04 tháng hoặc thậm chí đến 05 năm, tùy </w:t>
      </w:r>
      <w:proofErr w:type="gramStart"/>
      <w:r w:rsidR="000E434C" w:rsidRPr="002A7162">
        <w:rPr>
          <w:color w:val="000000" w:themeColor="text1"/>
          <w:lang w:val="en-US" w:eastAsia="nl-BE"/>
        </w:rPr>
        <w:t>theo</w:t>
      </w:r>
      <w:proofErr w:type="gramEnd"/>
      <w:r w:rsidR="000E434C" w:rsidRPr="002A7162">
        <w:rPr>
          <w:color w:val="000000" w:themeColor="text1"/>
          <w:lang w:val="en-US" w:eastAsia="nl-BE"/>
        </w:rPr>
        <w:t xml:space="preserve"> quyết định của Ủy ban Châu Âu</w:t>
      </w:r>
      <w:r w:rsidR="00AB17BE" w:rsidRPr="002A7162">
        <w:rPr>
          <w:color w:val="000000" w:themeColor="text1"/>
          <w:lang w:val="en-US" w:eastAsia="nl-BE"/>
        </w:rPr>
        <w:t>.</w:t>
      </w:r>
    </w:p>
    <w:p w14:paraId="160CFEAB" w14:textId="52C48370" w:rsidR="001061D4" w:rsidRPr="00592931" w:rsidRDefault="001061D4" w:rsidP="00592931">
      <w:pPr>
        <w:pStyle w:val="ListParagraph"/>
        <w:numPr>
          <w:ilvl w:val="0"/>
          <w:numId w:val="38"/>
        </w:numPr>
        <w:autoSpaceDE w:val="0"/>
        <w:autoSpaceDN w:val="0"/>
        <w:adjustRightInd w:val="0"/>
        <w:spacing w:before="240" w:after="240" w:line="360" w:lineRule="auto"/>
        <w:ind w:hanging="720"/>
        <w:contextualSpacing w:val="0"/>
        <w:rPr>
          <w:color w:val="000000" w:themeColor="text1"/>
          <w:lang w:eastAsia="nl-BE"/>
        </w:rPr>
      </w:pPr>
      <w:r w:rsidRPr="00592931">
        <w:rPr>
          <w:color w:val="000000" w:themeColor="text1"/>
          <w:lang w:eastAsia="nl-BE"/>
        </w:rPr>
        <w:t>Về Tự vệ (Safeguards):</w:t>
      </w:r>
    </w:p>
    <w:p w14:paraId="46DF7237" w14:textId="01BBDAE9" w:rsidR="001061D4" w:rsidRPr="00592931" w:rsidRDefault="00675642" w:rsidP="00592931">
      <w:pPr>
        <w:pStyle w:val="ListParagraph"/>
        <w:numPr>
          <w:ilvl w:val="0"/>
          <w:numId w:val="41"/>
        </w:numPr>
        <w:autoSpaceDE w:val="0"/>
        <w:autoSpaceDN w:val="0"/>
        <w:adjustRightInd w:val="0"/>
        <w:spacing w:before="240" w:after="240" w:line="360" w:lineRule="auto"/>
        <w:contextualSpacing w:val="0"/>
        <w:rPr>
          <w:color w:val="000000" w:themeColor="text1"/>
          <w:lang w:eastAsia="nl-BE"/>
        </w:rPr>
      </w:pPr>
      <w:r w:rsidRPr="00592931">
        <w:rPr>
          <w:color w:val="000000" w:themeColor="text1"/>
          <w:lang w:eastAsia="nl-BE"/>
        </w:rPr>
        <w:t xml:space="preserve">Căn cứ pháp lý: </w:t>
      </w:r>
      <w:r w:rsidR="007D75FE" w:rsidRPr="00592931">
        <w:rPr>
          <w:color w:val="000000" w:themeColor="text1"/>
          <w:lang w:eastAsia="nl-BE"/>
        </w:rPr>
        <w:t>Quy định 201</w:t>
      </w:r>
      <w:r w:rsidR="003E33DC" w:rsidRPr="00592931">
        <w:rPr>
          <w:color w:val="000000" w:themeColor="text1"/>
          <w:lang w:eastAsia="nl-BE"/>
        </w:rPr>
        <w:t>5</w:t>
      </w:r>
      <w:r w:rsidR="007D75FE" w:rsidRPr="00592931">
        <w:rPr>
          <w:color w:val="000000" w:themeColor="text1"/>
          <w:lang w:eastAsia="nl-BE"/>
        </w:rPr>
        <w:t>/</w:t>
      </w:r>
      <w:r w:rsidR="003E33DC" w:rsidRPr="00592931">
        <w:rPr>
          <w:color w:val="000000" w:themeColor="text1"/>
          <w:lang w:eastAsia="nl-BE"/>
        </w:rPr>
        <w:t>478</w:t>
      </w:r>
      <w:r w:rsidR="007D75FE" w:rsidRPr="00592931">
        <w:rPr>
          <w:color w:val="000000" w:themeColor="text1"/>
          <w:lang w:eastAsia="nl-BE"/>
        </w:rPr>
        <w:t xml:space="preserve"> ngày </w:t>
      </w:r>
      <w:r w:rsidR="003E33DC" w:rsidRPr="00592931">
        <w:rPr>
          <w:color w:val="000000" w:themeColor="text1"/>
          <w:lang w:eastAsia="nl-BE"/>
        </w:rPr>
        <w:t>11/03/2015</w:t>
      </w:r>
      <w:r w:rsidR="007D75FE" w:rsidRPr="00592931">
        <w:rPr>
          <w:color w:val="000000" w:themeColor="text1"/>
          <w:lang w:eastAsia="nl-BE"/>
        </w:rPr>
        <w:t xml:space="preserve"> của Nghị viện và Hội đồng Châu Âu </w:t>
      </w:r>
      <w:r w:rsidR="003E33DC" w:rsidRPr="00592931">
        <w:rPr>
          <w:color w:val="000000" w:themeColor="text1"/>
          <w:lang w:eastAsia="nl-BE"/>
        </w:rPr>
        <w:t>về các quy định chung liên quan đến nhập khẩu (áp dụng cho các nước thành viên WTO)</w:t>
      </w:r>
      <w:r w:rsidR="00AB3281" w:rsidRPr="00592931">
        <w:rPr>
          <w:rStyle w:val="FootnoteReference"/>
          <w:color w:val="000000" w:themeColor="text1"/>
          <w:lang w:eastAsia="nl-BE"/>
        </w:rPr>
        <w:footnoteReference w:id="13"/>
      </w:r>
      <w:r w:rsidR="00AB3281" w:rsidRPr="00592931">
        <w:rPr>
          <w:color w:val="000000" w:themeColor="text1"/>
          <w:lang w:eastAsia="nl-BE"/>
        </w:rPr>
        <w:t xml:space="preserve"> và Quy định 2015/755 ngày 29/04/2015 của Nghị viện và Hội đồng Châu Âu về các quy định chung liên quan đến nhập khẩu áp dụng cho các nước không phải là thành viên WTO</w:t>
      </w:r>
      <w:r w:rsidR="00AB3281" w:rsidRPr="00592931">
        <w:rPr>
          <w:rStyle w:val="FootnoteReference"/>
          <w:color w:val="000000" w:themeColor="text1"/>
          <w:lang w:eastAsia="nl-BE"/>
        </w:rPr>
        <w:footnoteReference w:id="14"/>
      </w:r>
      <w:r w:rsidR="00AB3281" w:rsidRPr="00592931">
        <w:rPr>
          <w:color w:val="000000" w:themeColor="text1"/>
          <w:lang w:eastAsia="nl-BE"/>
        </w:rPr>
        <w:t>.</w:t>
      </w:r>
    </w:p>
    <w:p w14:paraId="269EF079" w14:textId="7DA336E7" w:rsidR="002A21BC" w:rsidRPr="00592931" w:rsidRDefault="00664FEB" w:rsidP="00592931">
      <w:pPr>
        <w:pStyle w:val="ListParagraph"/>
        <w:numPr>
          <w:ilvl w:val="0"/>
          <w:numId w:val="41"/>
        </w:numPr>
        <w:autoSpaceDE w:val="0"/>
        <w:autoSpaceDN w:val="0"/>
        <w:adjustRightInd w:val="0"/>
        <w:spacing w:before="240" w:after="240" w:line="360" w:lineRule="auto"/>
        <w:contextualSpacing w:val="0"/>
        <w:rPr>
          <w:color w:val="000000" w:themeColor="text1"/>
          <w:lang w:eastAsia="nl-BE"/>
        </w:rPr>
      </w:pPr>
      <w:r w:rsidRPr="00592931">
        <w:rPr>
          <w:color w:val="000000" w:themeColor="text1"/>
          <w:lang w:eastAsia="nl-BE"/>
        </w:rPr>
        <w:t>Quy định này tuân thủ quy định của WTO về tự vệ</w:t>
      </w:r>
      <w:r w:rsidRPr="00592931">
        <w:rPr>
          <w:rStyle w:val="FootnoteReference"/>
          <w:color w:val="000000" w:themeColor="text1"/>
          <w:lang w:eastAsia="nl-BE"/>
        </w:rPr>
        <w:footnoteReference w:id="15"/>
      </w:r>
      <w:r w:rsidRPr="00592931">
        <w:rPr>
          <w:color w:val="000000" w:themeColor="text1"/>
          <w:lang w:eastAsia="nl-BE"/>
        </w:rPr>
        <w:t>.</w:t>
      </w:r>
    </w:p>
    <w:p w14:paraId="797E36A6" w14:textId="46034BFA" w:rsidR="00F66914" w:rsidRPr="00592931" w:rsidRDefault="00F66914" w:rsidP="00592931">
      <w:pPr>
        <w:pStyle w:val="ListParagraph"/>
        <w:numPr>
          <w:ilvl w:val="0"/>
          <w:numId w:val="41"/>
        </w:numPr>
        <w:autoSpaceDE w:val="0"/>
        <w:autoSpaceDN w:val="0"/>
        <w:adjustRightInd w:val="0"/>
        <w:spacing w:before="240" w:after="240" w:line="360" w:lineRule="auto"/>
        <w:contextualSpacing w:val="0"/>
        <w:rPr>
          <w:color w:val="000000" w:themeColor="text1"/>
          <w:lang w:eastAsia="nl-BE"/>
        </w:rPr>
      </w:pPr>
      <w:r w:rsidRPr="00592931">
        <w:rPr>
          <w:color w:val="000000" w:themeColor="text1"/>
          <w:lang w:eastAsia="nl-BE"/>
        </w:rPr>
        <w:t>Kh</w:t>
      </w:r>
      <w:r w:rsidR="00AB4D4B" w:rsidRPr="00592931">
        <w:rPr>
          <w:color w:val="000000" w:themeColor="text1"/>
          <w:lang w:eastAsia="nl-BE"/>
        </w:rPr>
        <w:t>ác với biện pháp Chống bán phá giá và Chống trợ cấp, Tự v</w:t>
      </w:r>
      <w:r w:rsidR="007C3096" w:rsidRPr="00592931">
        <w:rPr>
          <w:color w:val="000000" w:themeColor="text1"/>
          <w:lang w:eastAsia="nl-BE"/>
        </w:rPr>
        <w:t>ệ</w:t>
      </w:r>
      <w:r w:rsidR="00AB4D4B" w:rsidRPr="00592931">
        <w:rPr>
          <w:color w:val="000000" w:themeColor="text1"/>
          <w:lang w:eastAsia="nl-BE"/>
        </w:rPr>
        <w:t xml:space="preserve"> không được sử dụng để </w:t>
      </w:r>
      <w:r w:rsidR="007C3096" w:rsidRPr="00592931">
        <w:rPr>
          <w:color w:val="000000" w:themeColor="text1"/>
          <w:lang w:eastAsia="nl-BE"/>
        </w:rPr>
        <w:t>giải quyết các vấn đề thương mại không công bằng. Biện pháp này được sử dụng</w:t>
      </w:r>
      <w:r w:rsidR="005940C9" w:rsidRPr="00592931">
        <w:rPr>
          <w:color w:val="000000" w:themeColor="text1"/>
          <w:lang w:eastAsia="nl-BE"/>
        </w:rPr>
        <w:t xml:space="preserve"> </w:t>
      </w:r>
      <w:r w:rsidR="00C72099" w:rsidRPr="00592931">
        <w:rPr>
          <w:color w:val="000000" w:themeColor="text1"/>
          <w:lang w:eastAsia="nl-BE"/>
        </w:rPr>
        <w:t>khi xảy ra</w:t>
      </w:r>
      <w:r w:rsidR="005940C9" w:rsidRPr="00592931">
        <w:rPr>
          <w:color w:val="000000" w:themeColor="text1"/>
          <w:lang w:eastAsia="nl-BE"/>
        </w:rPr>
        <w:t xml:space="preserve"> hoạt động nhập khẩu hàng hóa với số lượng tăng một cách </w:t>
      </w:r>
      <w:r w:rsidR="00725C27" w:rsidRPr="00592931">
        <w:rPr>
          <w:color w:val="000000" w:themeColor="text1"/>
          <w:lang w:eastAsia="nl-BE"/>
        </w:rPr>
        <w:t xml:space="preserve">lớn và </w:t>
      </w:r>
      <w:r w:rsidR="005940C9" w:rsidRPr="00592931">
        <w:rPr>
          <w:color w:val="000000" w:themeColor="text1"/>
          <w:lang w:eastAsia="nl-BE"/>
        </w:rPr>
        <w:t>bất thường</w:t>
      </w:r>
      <w:r w:rsidR="00725C27" w:rsidRPr="00592931">
        <w:rPr>
          <w:color w:val="000000" w:themeColor="text1"/>
          <w:lang w:eastAsia="nl-BE"/>
        </w:rPr>
        <w:t xml:space="preserve"> mà các nhà sản xuất EU không thể </w:t>
      </w:r>
      <w:r w:rsidR="00135829" w:rsidRPr="00592931">
        <w:rPr>
          <w:color w:val="000000" w:themeColor="text1"/>
          <w:lang w:eastAsia="nl-BE"/>
        </w:rPr>
        <w:t>thích ứng</w:t>
      </w:r>
      <w:r w:rsidR="00725C27" w:rsidRPr="00592931">
        <w:rPr>
          <w:color w:val="000000" w:themeColor="text1"/>
          <w:lang w:eastAsia="nl-BE"/>
        </w:rPr>
        <w:t xml:space="preserve"> kịp ngay lập tức</w:t>
      </w:r>
      <w:r w:rsidR="00F7623B" w:rsidRPr="00592931">
        <w:rPr>
          <w:color w:val="000000" w:themeColor="text1"/>
          <w:lang w:eastAsia="nl-BE"/>
        </w:rPr>
        <w:t xml:space="preserve">. Khi đó, WTO và luật EU cho phép các biện pháp ngắn hạn để điều chỉnh việc nhập khẩu, </w:t>
      </w:r>
      <w:r w:rsidR="00260907" w:rsidRPr="00592931">
        <w:rPr>
          <w:color w:val="000000" w:themeColor="text1"/>
          <w:lang w:eastAsia="nl-BE"/>
        </w:rPr>
        <w:t>tạo cơ hội cho các công ty EU có thời gian thích ứng đối với sự tăng lên của hàng hóa không thể nhìn thấy trước này</w:t>
      </w:r>
      <w:r w:rsidR="00A83FC3" w:rsidRPr="00592931">
        <w:rPr>
          <w:color w:val="000000" w:themeColor="text1"/>
          <w:lang w:eastAsia="nl-BE"/>
        </w:rPr>
        <w:t xml:space="preserve">. Thông thường biện pháp này áp dụng đối với việc nhập khẩu hàng hóa từ các quốc gia không phải thành viên EU. </w:t>
      </w:r>
      <w:r w:rsidR="00CF3B1D" w:rsidRPr="00592931">
        <w:rPr>
          <w:color w:val="000000" w:themeColor="text1"/>
          <w:lang w:eastAsia="nl-BE"/>
        </w:rPr>
        <w:t>Đổi lại, các ngành công nghiệp bị ảnh hưởng phải tái cấu trúc. Các biện pháp tự vệ có thể kéo dài đến 200 ngày</w:t>
      </w:r>
      <w:r w:rsidR="00A4142C" w:rsidRPr="00592931">
        <w:rPr>
          <w:color w:val="000000" w:themeColor="text1"/>
          <w:lang w:eastAsia="nl-BE"/>
        </w:rPr>
        <w:t xml:space="preserve"> và thậm chí là 04 năm. Khi kéo dài quá 03 năm, việc xem xét phải được thực hiện</w:t>
      </w:r>
      <w:r w:rsidR="00ED6977" w:rsidRPr="00592931">
        <w:rPr>
          <w:color w:val="000000" w:themeColor="text1"/>
          <w:lang w:eastAsia="nl-BE"/>
        </w:rPr>
        <w:t xml:space="preserve"> và kéo theo biện pháp tự v</w:t>
      </w:r>
      <w:r w:rsidR="00A168DF" w:rsidRPr="00592931">
        <w:rPr>
          <w:color w:val="000000" w:themeColor="text1"/>
          <w:lang w:eastAsia="nl-BE"/>
        </w:rPr>
        <w:t>ệ</w:t>
      </w:r>
      <w:r w:rsidR="00ED6977" w:rsidRPr="00592931">
        <w:rPr>
          <w:color w:val="000000" w:themeColor="text1"/>
          <w:lang w:eastAsia="nl-BE"/>
        </w:rPr>
        <w:t xml:space="preserve"> có thể lên tới 08 năm.</w:t>
      </w:r>
      <w:r w:rsidR="00725C27" w:rsidRPr="00592931">
        <w:rPr>
          <w:color w:val="000000" w:themeColor="text1"/>
          <w:lang w:eastAsia="nl-BE"/>
        </w:rPr>
        <w:t xml:space="preserve"> </w:t>
      </w:r>
    </w:p>
    <w:p w14:paraId="41AF8E10" w14:textId="4AD48F0C" w:rsidR="00663176" w:rsidRPr="00592931" w:rsidRDefault="00A37877" w:rsidP="00592931">
      <w:pPr>
        <w:pStyle w:val="ListParagraph"/>
        <w:numPr>
          <w:ilvl w:val="0"/>
          <w:numId w:val="38"/>
        </w:numPr>
        <w:autoSpaceDE w:val="0"/>
        <w:autoSpaceDN w:val="0"/>
        <w:adjustRightInd w:val="0"/>
        <w:spacing w:before="240" w:after="240" w:line="360" w:lineRule="auto"/>
        <w:ind w:hanging="720"/>
        <w:contextualSpacing w:val="0"/>
        <w:rPr>
          <w:color w:val="000000" w:themeColor="text1"/>
          <w:lang w:eastAsia="nl-BE"/>
        </w:rPr>
      </w:pPr>
      <w:r w:rsidRPr="00592931">
        <w:rPr>
          <w:color w:val="000000" w:themeColor="text1"/>
          <w:lang w:eastAsia="nl-BE"/>
        </w:rPr>
        <w:t>Nhiệm vụ của Ủy ban Châu Âu (European Commission)</w:t>
      </w:r>
    </w:p>
    <w:p w14:paraId="1EF2C9C9" w14:textId="68DC8BAA" w:rsidR="00060443" w:rsidRPr="00592931" w:rsidRDefault="00EE4680" w:rsidP="00592931">
      <w:pPr>
        <w:pStyle w:val="ListParagraph"/>
        <w:numPr>
          <w:ilvl w:val="0"/>
          <w:numId w:val="42"/>
        </w:numPr>
        <w:autoSpaceDE w:val="0"/>
        <w:autoSpaceDN w:val="0"/>
        <w:adjustRightInd w:val="0"/>
        <w:spacing w:before="240" w:after="240" w:line="360" w:lineRule="auto"/>
        <w:contextualSpacing w:val="0"/>
      </w:pPr>
      <w:r w:rsidRPr="00592931">
        <w:t>Xem xét và đánh giá các bằng chứng do bên khiếu nại cung cấp và quyết định xem có cần điều tra hoặc xem xét lại</w:t>
      </w:r>
      <w:r w:rsidR="00822D3D" w:rsidRPr="00592931">
        <w:t xml:space="preserve"> các biện pháp hay không.</w:t>
      </w:r>
    </w:p>
    <w:p w14:paraId="508409C5" w14:textId="091DDBBC" w:rsidR="00822D3D" w:rsidRPr="00592931" w:rsidRDefault="00822D3D" w:rsidP="00592931">
      <w:pPr>
        <w:pStyle w:val="ListParagraph"/>
        <w:numPr>
          <w:ilvl w:val="0"/>
          <w:numId w:val="42"/>
        </w:numPr>
        <w:autoSpaceDE w:val="0"/>
        <w:autoSpaceDN w:val="0"/>
        <w:adjustRightInd w:val="0"/>
        <w:spacing w:before="240" w:after="240" w:line="360" w:lineRule="auto"/>
        <w:contextualSpacing w:val="0"/>
      </w:pPr>
      <w:r w:rsidRPr="00592931">
        <w:t>Điều tra để áp dụng các biện pháp phòng vệ thương mại.</w:t>
      </w:r>
    </w:p>
    <w:p w14:paraId="598375AA" w14:textId="66C9F566" w:rsidR="00822D3D" w:rsidRPr="00592931" w:rsidRDefault="004C713E" w:rsidP="00592931">
      <w:pPr>
        <w:pStyle w:val="ListParagraph"/>
        <w:numPr>
          <w:ilvl w:val="0"/>
          <w:numId w:val="42"/>
        </w:numPr>
        <w:autoSpaceDE w:val="0"/>
        <w:autoSpaceDN w:val="0"/>
        <w:adjustRightInd w:val="0"/>
        <w:spacing w:before="240" w:after="240" w:line="360" w:lineRule="auto"/>
        <w:contextualSpacing w:val="0"/>
      </w:pPr>
      <w:r w:rsidRPr="00592931">
        <w:t>Quyết định việc thực thi tất cả các hành động, biện pháp phòng vệ thương mại</w:t>
      </w:r>
      <w:r w:rsidR="00275620" w:rsidRPr="00592931">
        <w:t xml:space="preserve"> sau khi tham vấn với Hội đồng phòng vệ thương mại bao gồm đại diện của các quốc gia thành viên EU</w:t>
      </w:r>
      <w:r w:rsidR="00DB683C" w:rsidRPr="00592931">
        <w:t>, đặc biệt đối với các quyết định lớn và quan trọng.</w:t>
      </w:r>
    </w:p>
    <w:p w14:paraId="44E030AD" w14:textId="00F9069A" w:rsidR="00A37877" w:rsidRPr="00592931" w:rsidRDefault="00675642" w:rsidP="00592931">
      <w:pPr>
        <w:pStyle w:val="ListParagraph"/>
        <w:numPr>
          <w:ilvl w:val="0"/>
          <w:numId w:val="38"/>
        </w:numPr>
        <w:autoSpaceDE w:val="0"/>
        <w:autoSpaceDN w:val="0"/>
        <w:adjustRightInd w:val="0"/>
        <w:spacing w:before="240" w:after="240" w:line="360" w:lineRule="auto"/>
        <w:ind w:hanging="720"/>
        <w:contextualSpacing w:val="0"/>
        <w:rPr>
          <w:color w:val="000000" w:themeColor="text1"/>
          <w:lang w:eastAsia="nl-BE"/>
        </w:rPr>
      </w:pPr>
      <w:r w:rsidRPr="00592931">
        <w:rPr>
          <w:color w:val="000000" w:themeColor="text1"/>
          <w:lang w:eastAsia="nl-BE"/>
        </w:rPr>
        <w:t xml:space="preserve">Xem xét </w:t>
      </w:r>
      <w:r w:rsidR="00DB683C" w:rsidRPr="00592931">
        <w:rPr>
          <w:color w:val="000000" w:themeColor="text1"/>
          <w:lang w:eastAsia="nl-BE"/>
        </w:rPr>
        <w:t xml:space="preserve">lại </w:t>
      </w:r>
      <w:r w:rsidRPr="00592931">
        <w:rPr>
          <w:color w:val="000000" w:themeColor="text1"/>
          <w:lang w:eastAsia="nl-BE"/>
        </w:rPr>
        <w:t>các biện pháp phòng vệ thương mại</w:t>
      </w:r>
    </w:p>
    <w:p w14:paraId="3CB4A50B" w14:textId="201021F4" w:rsidR="00DB683C" w:rsidRPr="00592931" w:rsidRDefault="00E0653B" w:rsidP="00592931">
      <w:pPr>
        <w:pStyle w:val="ListParagraph"/>
        <w:numPr>
          <w:ilvl w:val="0"/>
          <w:numId w:val="43"/>
        </w:numPr>
        <w:autoSpaceDE w:val="0"/>
        <w:autoSpaceDN w:val="0"/>
        <w:adjustRightInd w:val="0"/>
        <w:spacing w:before="240" w:after="240" w:line="360" w:lineRule="auto"/>
        <w:contextualSpacing w:val="0"/>
      </w:pPr>
      <w:r w:rsidRPr="00592931">
        <w:t xml:space="preserve">Các bên chịu ảnh hưởng hoặc có lợi ích trong việc điều tra và/ hoặc áp dụng các biện pháp phòng vệ thương mại có thể yêu cầu xem xét lại các biện pháp nếu như tình hình đã thay đổi. </w:t>
      </w:r>
      <w:r w:rsidR="005E2EF5" w:rsidRPr="00592931">
        <w:t>Điều này có thể dẫn đến các biện pháp được sửa đổi</w:t>
      </w:r>
      <w:r w:rsidR="0026125C" w:rsidRPr="00592931">
        <w:t>, xóa bỏ hoặc tiếp tục thực hiện.</w:t>
      </w:r>
    </w:p>
    <w:p w14:paraId="25F34FA8" w14:textId="524B6724" w:rsidR="0026125C" w:rsidRPr="00592931" w:rsidRDefault="00174B68" w:rsidP="00592931">
      <w:pPr>
        <w:pStyle w:val="ListParagraph"/>
        <w:numPr>
          <w:ilvl w:val="0"/>
          <w:numId w:val="43"/>
        </w:numPr>
        <w:autoSpaceDE w:val="0"/>
        <w:autoSpaceDN w:val="0"/>
        <w:adjustRightInd w:val="0"/>
        <w:spacing w:before="240" w:after="240" w:line="360" w:lineRule="auto"/>
        <w:contextualSpacing w:val="0"/>
      </w:pPr>
      <w:r w:rsidRPr="00592931">
        <w:t xml:space="preserve">Bên nhập khẩu có thể yêu cầu hoàn tiền nếu </w:t>
      </w:r>
      <w:r w:rsidR="00774C7E" w:rsidRPr="00592931">
        <w:t>bên sản xuất xuất khẩu không bán giá hoặc không được trợ cấp hoặc mức độ phá giá/trợ cấp thấp hơn mức thuế nhập khẩu</w:t>
      </w:r>
      <w:r w:rsidR="002835BE" w:rsidRPr="00592931">
        <w:t>.</w:t>
      </w:r>
    </w:p>
    <w:p w14:paraId="58736C48" w14:textId="1EE72F73" w:rsidR="006119EF" w:rsidRPr="00592931" w:rsidRDefault="002835BE" w:rsidP="00592931">
      <w:pPr>
        <w:pStyle w:val="ListParagraph"/>
        <w:numPr>
          <w:ilvl w:val="0"/>
          <w:numId w:val="43"/>
        </w:numPr>
        <w:autoSpaceDE w:val="0"/>
        <w:autoSpaceDN w:val="0"/>
        <w:adjustRightInd w:val="0"/>
        <w:spacing w:before="240" w:after="240" w:line="360" w:lineRule="auto"/>
        <w:contextualSpacing w:val="0"/>
      </w:pPr>
      <w:r w:rsidRPr="00592931">
        <w:t>Các biện pháp phòng vệ thương mại có thể được xem xét bởi Tòa án Công lý Châu Âu (European Court of Justice) hoặc Cơ quan giải quyết tranh chấp của WTO (</w:t>
      </w:r>
      <w:r w:rsidR="006119EF" w:rsidRPr="00592931">
        <w:t>WTO Dispute Settlement Body</w:t>
      </w:r>
      <w:r w:rsidRPr="00592931">
        <w:t>).</w:t>
      </w:r>
    </w:p>
    <w:p w14:paraId="57F105B7" w14:textId="0F2805F5" w:rsidR="00D73EC3" w:rsidRPr="002A7162" w:rsidRDefault="00726579" w:rsidP="00592931">
      <w:pPr>
        <w:pStyle w:val="Heading1"/>
        <w:spacing w:before="240" w:after="240" w:line="360" w:lineRule="auto"/>
        <w:ind w:left="734" w:hanging="734"/>
        <w:rPr>
          <w:rFonts w:cs="Times New Roman"/>
          <w:lang w:val="fr-FR"/>
        </w:rPr>
      </w:pPr>
      <w:bookmarkStart w:id="2" w:name="_Toc38217953"/>
      <w:r w:rsidRPr="002A7162">
        <w:rPr>
          <w:rFonts w:cs="Times New Roman"/>
          <w:lang w:val="fr-FR"/>
        </w:rPr>
        <w:t xml:space="preserve">PHÁP LUẬT VỀ </w:t>
      </w:r>
      <w:r w:rsidR="00E67FCF" w:rsidRPr="002A7162">
        <w:rPr>
          <w:rFonts w:cs="Times New Roman"/>
          <w:lang w:val="fr-FR"/>
        </w:rPr>
        <w:t>BẢO VỆ NGƯỜI TIÊU DÙNG</w:t>
      </w:r>
      <w:bookmarkEnd w:id="2"/>
    </w:p>
    <w:p w14:paraId="164DFC3F" w14:textId="41E1BA62" w:rsidR="00A33ED2" w:rsidRPr="00592931" w:rsidRDefault="00B2069C" w:rsidP="00592931">
      <w:pPr>
        <w:pStyle w:val="ListParagraph"/>
        <w:numPr>
          <w:ilvl w:val="0"/>
          <w:numId w:val="44"/>
        </w:numPr>
        <w:autoSpaceDE w:val="0"/>
        <w:autoSpaceDN w:val="0"/>
        <w:adjustRightInd w:val="0"/>
        <w:spacing w:before="240" w:after="240" w:line="360" w:lineRule="auto"/>
        <w:ind w:hanging="720"/>
        <w:contextualSpacing w:val="0"/>
        <w:rPr>
          <w:color w:val="000000" w:themeColor="text1"/>
          <w:lang w:eastAsia="nl-BE"/>
        </w:rPr>
      </w:pPr>
      <w:r w:rsidRPr="00592931">
        <w:rPr>
          <w:color w:val="000000" w:themeColor="text1"/>
          <w:lang w:eastAsia="nl-BE"/>
        </w:rPr>
        <w:t xml:space="preserve">Hệ thống pháp luật về bảo vệ người tiêu dùng </w:t>
      </w:r>
      <w:r w:rsidR="00510C53" w:rsidRPr="00592931">
        <w:rPr>
          <w:color w:val="000000" w:themeColor="text1"/>
          <w:lang w:eastAsia="nl-BE"/>
        </w:rPr>
        <w:t xml:space="preserve">của EU được quy định bằng các Chỉ thị </w:t>
      </w:r>
      <w:r w:rsidR="00510C53" w:rsidRPr="00592931">
        <w:rPr>
          <w:color w:val="000000" w:themeColor="text1"/>
          <w:lang w:eastAsia="nl-BE"/>
        </w:rPr>
        <w:br/>
        <w:t>(Directive)</w:t>
      </w:r>
      <w:r w:rsidR="00A33ED2" w:rsidRPr="00592931">
        <w:rPr>
          <w:color w:val="000000" w:themeColor="text1"/>
          <w:lang w:eastAsia="nl-BE"/>
        </w:rPr>
        <w:t xml:space="preserve"> của </w:t>
      </w:r>
      <w:r w:rsidR="004F712B" w:rsidRPr="00592931">
        <w:rPr>
          <w:color w:val="000000" w:themeColor="text1"/>
          <w:lang w:eastAsia="nl-BE"/>
        </w:rPr>
        <w:t>Nghị viện và Hội đồng Châu Âu (khác với quy định về phòng vệ thương mại)</w:t>
      </w:r>
      <w:r w:rsidR="00A33ED2" w:rsidRPr="00592931">
        <w:rPr>
          <w:color w:val="000000" w:themeColor="text1"/>
          <w:lang w:eastAsia="nl-BE"/>
        </w:rPr>
        <w:t>, cơ bản bao gồm các văn bản sau:</w:t>
      </w:r>
    </w:p>
    <w:p w14:paraId="1B54102A" w14:textId="3414CFD4" w:rsidR="006B23DF" w:rsidRPr="00592931" w:rsidRDefault="00A33ED2" w:rsidP="00592931">
      <w:pPr>
        <w:pStyle w:val="ListParagraph"/>
        <w:numPr>
          <w:ilvl w:val="0"/>
          <w:numId w:val="45"/>
        </w:numPr>
        <w:autoSpaceDE w:val="0"/>
        <w:autoSpaceDN w:val="0"/>
        <w:adjustRightInd w:val="0"/>
        <w:spacing w:before="240" w:after="240" w:line="360" w:lineRule="auto"/>
        <w:contextualSpacing w:val="0"/>
        <w:rPr>
          <w:color w:val="000000" w:themeColor="text1"/>
          <w:lang w:eastAsia="nl-BE"/>
        </w:rPr>
      </w:pPr>
      <w:r w:rsidRPr="00592931">
        <w:rPr>
          <w:color w:val="000000" w:themeColor="text1"/>
          <w:lang w:eastAsia="nl-BE"/>
        </w:rPr>
        <w:t>Chỉ thị về quyền của người tiêu dùng</w:t>
      </w:r>
      <w:r w:rsidR="002E5DEE" w:rsidRPr="00592931">
        <w:rPr>
          <w:color w:val="000000" w:themeColor="text1"/>
          <w:lang w:eastAsia="nl-BE"/>
        </w:rPr>
        <w:t xml:space="preserve"> (Consumer rights)</w:t>
      </w:r>
      <w:r w:rsidR="00F904D0" w:rsidRPr="00592931">
        <w:rPr>
          <w:rStyle w:val="FootnoteReference"/>
          <w:color w:val="000000" w:themeColor="text1"/>
          <w:lang w:eastAsia="nl-BE"/>
        </w:rPr>
        <w:footnoteReference w:id="16"/>
      </w:r>
      <w:r w:rsidR="004F712B" w:rsidRPr="00592931">
        <w:rPr>
          <w:color w:val="000000" w:themeColor="text1"/>
          <w:lang w:eastAsia="nl-BE"/>
        </w:rPr>
        <w:t>: Chỉ thị 2011/83</w:t>
      </w:r>
      <w:r w:rsidR="00667AB1" w:rsidRPr="00592931">
        <w:rPr>
          <w:color w:val="000000" w:themeColor="text1"/>
          <w:lang w:eastAsia="nl-BE"/>
        </w:rPr>
        <w:t>/EU ngày 25/10/2011</w:t>
      </w:r>
      <w:r w:rsidR="00667AB1" w:rsidRPr="00592931">
        <w:rPr>
          <w:rStyle w:val="FootnoteReference"/>
          <w:color w:val="000000" w:themeColor="text1"/>
          <w:lang w:eastAsia="nl-BE"/>
        </w:rPr>
        <w:footnoteReference w:id="17"/>
      </w:r>
      <w:r w:rsidR="008C3FC9" w:rsidRPr="00592931">
        <w:rPr>
          <w:color w:val="000000" w:themeColor="text1"/>
          <w:lang w:eastAsia="nl-BE"/>
        </w:rPr>
        <w:t xml:space="preserve">, được </w:t>
      </w:r>
      <w:r w:rsidR="0097407F" w:rsidRPr="00592931">
        <w:rPr>
          <w:color w:val="000000" w:themeColor="text1"/>
          <w:lang w:eastAsia="nl-BE"/>
        </w:rPr>
        <w:t>sửa đổi theo Chỉ thị 2015/2302</w:t>
      </w:r>
      <w:r w:rsidR="00E67C38" w:rsidRPr="00592931">
        <w:rPr>
          <w:color w:val="000000" w:themeColor="text1"/>
          <w:lang w:eastAsia="nl-BE"/>
        </w:rPr>
        <w:t xml:space="preserve"> ngày 25/11/2015</w:t>
      </w:r>
      <w:r w:rsidR="00E67C38" w:rsidRPr="00592931">
        <w:rPr>
          <w:rStyle w:val="FootnoteReference"/>
          <w:color w:val="000000" w:themeColor="text1"/>
          <w:lang w:eastAsia="nl-BE"/>
        </w:rPr>
        <w:footnoteReference w:id="18"/>
      </w:r>
      <w:r w:rsidR="00910712" w:rsidRPr="00592931">
        <w:rPr>
          <w:color w:val="000000" w:themeColor="text1"/>
          <w:lang w:eastAsia="nl-BE"/>
        </w:rPr>
        <w:t xml:space="preserve"> và gần nhất là Chỉ thị 2019/2161 ngày 27/11/2019</w:t>
      </w:r>
      <w:r w:rsidR="00910712" w:rsidRPr="00592931">
        <w:rPr>
          <w:rStyle w:val="FootnoteReference"/>
          <w:color w:val="000000" w:themeColor="text1"/>
          <w:lang w:eastAsia="nl-BE"/>
        </w:rPr>
        <w:footnoteReference w:id="19"/>
      </w:r>
      <w:r w:rsidR="00F904D0" w:rsidRPr="00592931">
        <w:rPr>
          <w:color w:val="000000" w:themeColor="text1"/>
          <w:lang w:eastAsia="nl-BE"/>
        </w:rPr>
        <w:t xml:space="preserve">. </w:t>
      </w:r>
    </w:p>
    <w:p w14:paraId="51E90E3F" w14:textId="389E7F70" w:rsidR="00A33ED2" w:rsidRPr="00592931" w:rsidRDefault="00F904D0" w:rsidP="00592931">
      <w:pPr>
        <w:pStyle w:val="ListParagraph"/>
        <w:numPr>
          <w:ilvl w:val="0"/>
          <w:numId w:val="45"/>
        </w:numPr>
        <w:autoSpaceDE w:val="0"/>
        <w:autoSpaceDN w:val="0"/>
        <w:adjustRightInd w:val="0"/>
        <w:spacing w:before="240" w:after="240" w:line="360" w:lineRule="auto"/>
        <w:contextualSpacing w:val="0"/>
        <w:rPr>
          <w:color w:val="000000" w:themeColor="text1"/>
          <w:lang w:eastAsia="nl-BE"/>
        </w:rPr>
      </w:pPr>
      <w:r w:rsidRPr="00592931">
        <w:rPr>
          <w:color w:val="000000" w:themeColor="text1"/>
          <w:lang w:eastAsia="nl-BE"/>
        </w:rPr>
        <w:t xml:space="preserve">Chỉ thị 2019/2161 </w:t>
      </w:r>
      <w:r w:rsidR="006B23DF" w:rsidRPr="00592931">
        <w:rPr>
          <w:color w:val="000000" w:themeColor="text1"/>
          <w:lang w:eastAsia="nl-BE"/>
        </w:rPr>
        <w:t xml:space="preserve">trên </w:t>
      </w:r>
      <w:r w:rsidRPr="00592931">
        <w:rPr>
          <w:color w:val="000000" w:themeColor="text1"/>
          <w:lang w:eastAsia="nl-BE"/>
        </w:rPr>
        <w:t>ra đời sau đề xuất của Ủy ban Châu Âu</w:t>
      </w:r>
      <w:r w:rsidR="00A43867" w:rsidRPr="00592931">
        <w:rPr>
          <w:color w:val="000000" w:themeColor="text1"/>
          <w:lang w:eastAsia="nl-BE"/>
        </w:rPr>
        <w:t xml:space="preserve"> về một </w:t>
      </w:r>
      <w:r w:rsidR="00D5336E" w:rsidRPr="00592931">
        <w:rPr>
          <w:color w:val="000000" w:themeColor="text1"/>
          <w:lang w:eastAsia="nl-BE"/>
        </w:rPr>
        <w:t xml:space="preserve">chương trình hành động liên quan </w:t>
      </w:r>
      <w:r w:rsidR="00A61E09" w:rsidRPr="00592931">
        <w:rPr>
          <w:color w:val="000000" w:themeColor="text1"/>
          <w:lang w:eastAsia="nl-BE"/>
        </w:rPr>
        <w:t>Thiết đãi</w:t>
      </w:r>
      <w:r w:rsidR="009D3242" w:rsidRPr="00592931">
        <w:rPr>
          <w:color w:val="000000" w:themeColor="text1"/>
          <w:lang w:eastAsia="nl-BE"/>
        </w:rPr>
        <w:t xml:space="preserve"> mới với người tiêu dùng (A New Deal </w:t>
      </w:r>
      <w:r w:rsidR="009F0AA8" w:rsidRPr="00592931">
        <w:rPr>
          <w:color w:val="000000" w:themeColor="text1"/>
          <w:lang w:eastAsia="nl-BE"/>
        </w:rPr>
        <w:t>for Consumers). Đề xuất này được ban hành ngày 11/04/2018</w:t>
      </w:r>
      <w:r w:rsidR="0005348F" w:rsidRPr="00592931">
        <w:rPr>
          <w:rStyle w:val="FootnoteReference"/>
          <w:color w:val="000000" w:themeColor="text1"/>
          <w:lang w:eastAsia="nl-BE"/>
        </w:rPr>
        <w:footnoteReference w:id="20"/>
      </w:r>
      <w:r w:rsidR="00A61E09" w:rsidRPr="00592931">
        <w:rPr>
          <w:color w:val="000000" w:themeColor="text1"/>
          <w:lang w:eastAsia="nl-BE"/>
        </w:rPr>
        <w:t>.</w:t>
      </w:r>
      <w:r w:rsidR="00D40064" w:rsidRPr="00592931">
        <w:rPr>
          <w:color w:val="000000" w:themeColor="text1"/>
          <w:lang w:eastAsia="nl-BE"/>
        </w:rPr>
        <w:t xml:space="preserve"> </w:t>
      </w:r>
      <w:r w:rsidR="00BE35C0" w:rsidRPr="00592931">
        <w:rPr>
          <w:color w:val="000000" w:themeColor="text1"/>
          <w:lang w:eastAsia="nl-BE"/>
        </w:rPr>
        <w:t>Một số</w:t>
      </w:r>
      <w:r w:rsidR="00D40064" w:rsidRPr="00592931">
        <w:rPr>
          <w:color w:val="000000" w:themeColor="text1"/>
          <w:lang w:eastAsia="nl-BE"/>
        </w:rPr>
        <w:t xml:space="preserve"> hướng dẫn đối với Chương trình hành động này</w:t>
      </w:r>
      <w:r w:rsidR="00BE35C0" w:rsidRPr="00592931">
        <w:rPr>
          <w:color w:val="000000" w:themeColor="text1"/>
          <w:lang w:eastAsia="nl-BE"/>
        </w:rPr>
        <w:t xml:space="preserve"> cũng đã được ban hành</w:t>
      </w:r>
      <w:r w:rsidR="00BE35C0" w:rsidRPr="00592931">
        <w:rPr>
          <w:rStyle w:val="FootnoteReference"/>
          <w:color w:val="000000" w:themeColor="text1"/>
          <w:lang w:eastAsia="nl-BE"/>
        </w:rPr>
        <w:footnoteReference w:id="21"/>
      </w:r>
      <w:r w:rsidR="00EA7E90" w:rsidRPr="00592931">
        <w:rPr>
          <w:color w:val="000000" w:themeColor="text1"/>
          <w:lang w:eastAsia="nl-BE"/>
        </w:rPr>
        <w:t>.</w:t>
      </w:r>
      <w:r w:rsidR="00D40064" w:rsidRPr="00592931">
        <w:rPr>
          <w:color w:val="000000" w:themeColor="text1"/>
          <w:lang w:eastAsia="nl-BE"/>
        </w:rPr>
        <w:t xml:space="preserve"> </w:t>
      </w:r>
      <w:r w:rsidR="003C5789" w:rsidRPr="00592931">
        <w:rPr>
          <w:color w:val="000000" w:themeColor="text1"/>
          <w:lang w:eastAsia="nl-BE"/>
        </w:rPr>
        <w:t xml:space="preserve">Nhờ sự ra đời của </w:t>
      </w:r>
      <w:r w:rsidR="00EE0FF3" w:rsidRPr="00592931">
        <w:rPr>
          <w:color w:val="000000" w:themeColor="text1"/>
          <w:lang w:eastAsia="nl-BE"/>
        </w:rPr>
        <w:t xml:space="preserve">Chương trình hành động này </w:t>
      </w:r>
      <w:r w:rsidR="003C5789" w:rsidRPr="00592931">
        <w:rPr>
          <w:color w:val="000000" w:themeColor="text1"/>
          <w:lang w:eastAsia="nl-BE"/>
        </w:rPr>
        <w:t xml:space="preserve">và Chỉ thị 2019/2161, các </w:t>
      </w:r>
      <w:r w:rsidR="00393CB2" w:rsidRPr="00592931">
        <w:rPr>
          <w:color w:val="000000" w:themeColor="text1"/>
          <w:lang w:eastAsia="nl-BE"/>
        </w:rPr>
        <w:t>Chỉ thị được liệt kê tiếp dưới đây</w:t>
      </w:r>
      <w:r w:rsidR="003C5789" w:rsidRPr="00592931">
        <w:rPr>
          <w:color w:val="000000" w:themeColor="text1"/>
          <w:lang w:eastAsia="nl-BE"/>
        </w:rPr>
        <w:t xml:space="preserve"> đã được sửa đổi</w:t>
      </w:r>
    </w:p>
    <w:p w14:paraId="260D815D" w14:textId="203AA745" w:rsidR="00393CB2" w:rsidRPr="00592931" w:rsidRDefault="001B4973" w:rsidP="00592931">
      <w:pPr>
        <w:pStyle w:val="ListParagraph"/>
        <w:numPr>
          <w:ilvl w:val="0"/>
          <w:numId w:val="45"/>
        </w:numPr>
        <w:autoSpaceDE w:val="0"/>
        <w:autoSpaceDN w:val="0"/>
        <w:adjustRightInd w:val="0"/>
        <w:spacing w:before="240" w:after="240" w:line="360" w:lineRule="auto"/>
        <w:contextualSpacing w:val="0"/>
        <w:rPr>
          <w:color w:val="000000" w:themeColor="text1"/>
          <w:lang w:eastAsia="nl-BE"/>
        </w:rPr>
      </w:pPr>
      <w:r w:rsidRPr="00592931">
        <w:rPr>
          <w:color w:val="000000" w:themeColor="text1"/>
          <w:lang w:eastAsia="nl-BE"/>
        </w:rPr>
        <w:t>Chỉ thị về các hành vi thương mại không công bằng</w:t>
      </w:r>
      <w:r w:rsidR="002E5DEE" w:rsidRPr="00592931">
        <w:rPr>
          <w:color w:val="000000" w:themeColor="text1"/>
          <w:lang w:eastAsia="nl-BE"/>
        </w:rPr>
        <w:t xml:space="preserve"> (Unfair</w:t>
      </w:r>
      <w:r w:rsidR="008129B1" w:rsidRPr="00592931">
        <w:rPr>
          <w:color w:val="000000" w:themeColor="text1"/>
          <w:lang w:eastAsia="nl-BE"/>
        </w:rPr>
        <w:t xml:space="preserve"> commercial practices)</w:t>
      </w:r>
      <w:r w:rsidR="00E1574A" w:rsidRPr="00592931">
        <w:rPr>
          <w:rStyle w:val="FootnoteReference"/>
          <w:color w:val="000000" w:themeColor="text1"/>
          <w:lang w:eastAsia="nl-BE"/>
        </w:rPr>
        <w:footnoteReference w:id="22"/>
      </w:r>
      <w:r w:rsidR="00E1574A" w:rsidRPr="00592931">
        <w:rPr>
          <w:color w:val="000000" w:themeColor="text1"/>
          <w:lang w:eastAsia="nl-BE"/>
        </w:rPr>
        <w:t>: Chỉ thị 2005/29/EC ngày 11/05/2005</w:t>
      </w:r>
      <w:r w:rsidR="0071041A" w:rsidRPr="00592931">
        <w:rPr>
          <w:rStyle w:val="FootnoteReference"/>
          <w:color w:val="000000" w:themeColor="text1"/>
          <w:lang w:eastAsia="nl-BE"/>
        </w:rPr>
        <w:footnoteReference w:id="23"/>
      </w:r>
      <w:r w:rsidR="0071041A" w:rsidRPr="00592931">
        <w:rPr>
          <w:color w:val="000000" w:themeColor="text1"/>
          <w:lang w:eastAsia="nl-BE"/>
        </w:rPr>
        <w:t xml:space="preserve">, </w:t>
      </w:r>
      <w:r w:rsidR="009B2ECE" w:rsidRPr="00592931">
        <w:rPr>
          <w:color w:val="000000" w:themeColor="text1"/>
          <w:lang w:eastAsia="nl-BE"/>
        </w:rPr>
        <w:t xml:space="preserve">hướng dẫn bởi </w:t>
      </w:r>
      <w:r w:rsidR="00D86C7C" w:rsidRPr="00592931">
        <w:rPr>
          <w:color w:val="000000" w:themeColor="text1"/>
          <w:lang w:eastAsia="nl-BE"/>
        </w:rPr>
        <w:t xml:space="preserve">Văn bản hướng dẫn của Ủy ban Châu Âu </w:t>
      </w:r>
      <w:r w:rsidR="00643FD6" w:rsidRPr="00592931">
        <w:rPr>
          <w:color w:val="000000" w:themeColor="text1"/>
          <w:lang w:eastAsia="nl-BE"/>
        </w:rPr>
        <w:t>ngày 25/05/2016</w:t>
      </w:r>
      <w:r w:rsidR="00643FD6" w:rsidRPr="00592931">
        <w:rPr>
          <w:rStyle w:val="FootnoteReference"/>
          <w:color w:val="000000" w:themeColor="text1"/>
          <w:lang w:eastAsia="nl-BE"/>
        </w:rPr>
        <w:footnoteReference w:id="24"/>
      </w:r>
      <w:r w:rsidR="00254D56" w:rsidRPr="00592931">
        <w:rPr>
          <w:color w:val="000000" w:themeColor="text1"/>
          <w:lang w:eastAsia="nl-BE"/>
        </w:rPr>
        <w:t xml:space="preserve">. Chỉ thị này </w:t>
      </w:r>
      <w:r w:rsidR="00143B48" w:rsidRPr="00592931">
        <w:rPr>
          <w:color w:val="000000" w:themeColor="text1"/>
          <w:lang w:eastAsia="nl-BE"/>
        </w:rPr>
        <w:t xml:space="preserve">để giúp tăng vị thế và sự tự tin cho người tiêu dùng và giúp cho các doanh nghiệp nhỏ và vừa có thể </w:t>
      </w:r>
      <w:r w:rsidR="003C5789" w:rsidRPr="00592931">
        <w:rPr>
          <w:color w:val="000000" w:themeColor="text1"/>
          <w:lang w:eastAsia="nl-BE"/>
        </w:rPr>
        <w:t>kinh doanh buôn bán trong nội khối EU chứ không chỉ dừng lại ở phạm vi lãnh thổ quốc gia.</w:t>
      </w:r>
      <w:r w:rsidR="00AC78D5" w:rsidRPr="00592931">
        <w:rPr>
          <w:color w:val="000000" w:themeColor="text1"/>
          <w:lang w:eastAsia="nl-BE"/>
        </w:rPr>
        <w:t xml:space="preserve"> Một số ví dụ về hành vi thương mại không công bằng có thể được tìm tại hướng dẫn sau</w:t>
      </w:r>
      <w:r w:rsidR="00AC78D5" w:rsidRPr="00592931">
        <w:rPr>
          <w:rStyle w:val="FootnoteReference"/>
          <w:color w:val="000000" w:themeColor="text1"/>
          <w:lang w:eastAsia="nl-BE"/>
        </w:rPr>
        <w:footnoteReference w:id="25"/>
      </w:r>
      <w:r w:rsidR="00AC78D5" w:rsidRPr="00592931">
        <w:rPr>
          <w:color w:val="000000" w:themeColor="text1"/>
          <w:lang w:eastAsia="nl-BE"/>
        </w:rPr>
        <w:t>.</w:t>
      </w:r>
    </w:p>
    <w:p w14:paraId="12C9CD5E" w14:textId="56DB059D" w:rsidR="003C5789" w:rsidRPr="00592931" w:rsidRDefault="00B21749" w:rsidP="00592931">
      <w:pPr>
        <w:pStyle w:val="ListParagraph"/>
        <w:numPr>
          <w:ilvl w:val="0"/>
          <w:numId w:val="45"/>
        </w:numPr>
        <w:autoSpaceDE w:val="0"/>
        <w:autoSpaceDN w:val="0"/>
        <w:adjustRightInd w:val="0"/>
        <w:spacing w:before="240" w:after="240" w:line="360" w:lineRule="auto"/>
        <w:contextualSpacing w:val="0"/>
        <w:rPr>
          <w:color w:val="000000" w:themeColor="text1"/>
          <w:lang w:eastAsia="nl-BE"/>
        </w:rPr>
      </w:pPr>
      <w:r w:rsidRPr="00592931">
        <w:rPr>
          <w:color w:val="000000" w:themeColor="text1"/>
          <w:lang w:eastAsia="nl-BE"/>
        </w:rPr>
        <w:t>Chỉ thị về các điều khoản hợp đồng không công bằng</w:t>
      </w:r>
      <w:r w:rsidR="008129B1" w:rsidRPr="00592931">
        <w:rPr>
          <w:color w:val="000000" w:themeColor="text1"/>
          <w:lang w:eastAsia="nl-BE"/>
        </w:rPr>
        <w:t xml:space="preserve"> (Unfair contract terms)</w:t>
      </w:r>
      <w:r w:rsidR="00472CDD" w:rsidRPr="00592931">
        <w:rPr>
          <w:rStyle w:val="FootnoteReference"/>
          <w:color w:val="000000" w:themeColor="text1"/>
          <w:lang w:eastAsia="nl-BE"/>
        </w:rPr>
        <w:footnoteReference w:id="26"/>
      </w:r>
      <w:r w:rsidR="00472CDD" w:rsidRPr="00592931">
        <w:rPr>
          <w:color w:val="000000" w:themeColor="text1"/>
          <w:lang w:eastAsia="nl-BE"/>
        </w:rPr>
        <w:t xml:space="preserve">: </w:t>
      </w:r>
      <w:r w:rsidR="00DC11E2" w:rsidRPr="00592931">
        <w:rPr>
          <w:color w:val="000000" w:themeColor="text1"/>
          <w:lang w:eastAsia="nl-BE"/>
        </w:rPr>
        <w:t>Chỉ thị 93/13/EEC ngày 05/04/1993</w:t>
      </w:r>
      <w:r w:rsidR="00DC11E2" w:rsidRPr="00592931">
        <w:rPr>
          <w:rStyle w:val="FootnoteReference"/>
          <w:color w:val="000000" w:themeColor="text1"/>
          <w:lang w:eastAsia="nl-BE"/>
        </w:rPr>
        <w:footnoteReference w:id="27"/>
      </w:r>
      <w:r w:rsidR="00D4072C" w:rsidRPr="00592931">
        <w:rPr>
          <w:color w:val="000000" w:themeColor="text1"/>
          <w:lang w:eastAsia="nl-BE"/>
        </w:rPr>
        <w:t xml:space="preserve">, hướng dẫn bởi Thông báo </w:t>
      </w:r>
      <w:r w:rsidR="002A58D1" w:rsidRPr="00592931">
        <w:rPr>
          <w:color w:val="000000" w:themeColor="text1"/>
          <w:lang w:eastAsia="nl-BE"/>
        </w:rPr>
        <w:t>2019/C 323/04</w:t>
      </w:r>
      <w:r w:rsidR="00472CDD" w:rsidRPr="00592931">
        <w:rPr>
          <w:color w:val="000000" w:themeColor="text1"/>
          <w:lang w:eastAsia="nl-BE"/>
        </w:rPr>
        <w:t xml:space="preserve"> </w:t>
      </w:r>
      <w:r w:rsidR="002A58D1" w:rsidRPr="00592931">
        <w:rPr>
          <w:color w:val="000000" w:themeColor="text1"/>
          <w:lang w:eastAsia="nl-BE"/>
        </w:rPr>
        <w:t>ngày 27/09/2019 của Ủy ban Châu Âu</w:t>
      </w:r>
      <w:r w:rsidR="002A58D1" w:rsidRPr="00592931">
        <w:rPr>
          <w:rStyle w:val="FootnoteReference"/>
          <w:color w:val="000000" w:themeColor="text1"/>
          <w:lang w:eastAsia="nl-BE"/>
        </w:rPr>
        <w:footnoteReference w:id="28"/>
      </w:r>
      <w:r w:rsidR="00CD3CD0" w:rsidRPr="00592931">
        <w:rPr>
          <w:color w:val="000000" w:themeColor="text1"/>
          <w:lang w:eastAsia="nl-BE"/>
        </w:rPr>
        <w:t xml:space="preserve">. </w:t>
      </w:r>
      <w:r w:rsidR="003B2B8A" w:rsidRPr="00592931">
        <w:rPr>
          <w:color w:val="000000" w:themeColor="text1"/>
          <w:lang w:eastAsia="nl-BE"/>
        </w:rPr>
        <w:t>Chỉ thị này để bảo vệ người tiêu dùng</w:t>
      </w:r>
      <w:r w:rsidR="009443AC" w:rsidRPr="00592931">
        <w:rPr>
          <w:color w:val="000000" w:themeColor="text1"/>
          <w:lang w:eastAsia="nl-BE"/>
        </w:rPr>
        <w:t xml:space="preserve"> trước những điều khoản mẫu của hợp đồng được đưa ra bởi nhà cung cấp mà được coi là không công bằng, bao gồm </w:t>
      </w:r>
      <w:r w:rsidR="00774425" w:rsidRPr="00592931">
        <w:rPr>
          <w:color w:val="000000" w:themeColor="text1"/>
          <w:lang w:eastAsia="nl-BE"/>
        </w:rPr>
        <w:t>tất cả các loại hợp đồng mua bán hàng hóa hoặc cung cấp dịch vụ, mua bán trực tuyến hoặc tại cửa hàng</w:t>
      </w:r>
      <w:r w:rsidR="007F3FD9" w:rsidRPr="00592931">
        <w:rPr>
          <w:color w:val="000000" w:themeColor="text1"/>
          <w:lang w:eastAsia="nl-BE"/>
        </w:rPr>
        <w:t xml:space="preserve">, kể cả tập thể hình hoặc hợp đồng tài chính, ví dụ như vay. </w:t>
      </w:r>
      <w:r w:rsidR="00D00ABF" w:rsidRPr="00592931">
        <w:rPr>
          <w:color w:val="000000" w:themeColor="text1"/>
          <w:lang w:eastAsia="nl-BE"/>
        </w:rPr>
        <w:t xml:space="preserve">Một số </w:t>
      </w:r>
      <w:r w:rsidR="00EA0F5F" w:rsidRPr="00592931">
        <w:rPr>
          <w:color w:val="000000" w:themeColor="text1"/>
          <w:lang w:eastAsia="nl-BE"/>
        </w:rPr>
        <w:t xml:space="preserve">ví dụ về </w:t>
      </w:r>
      <w:r w:rsidR="00D00ABF" w:rsidRPr="00592931">
        <w:rPr>
          <w:color w:val="000000" w:themeColor="text1"/>
          <w:lang w:eastAsia="nl-BE"/>
        </w:rPr>
        <w:t>điều khoản có thể bị coi là không công bằng có thể được tìm tại hướng dẫn</w:t>
      </w:r>
      <w:r w:rsidR="00EA0F5F" w:rsidRPr="00592931">
        <w:rPr>
          <w:color w:val="000000" w:themeColor="text1"/>
          <w:lang w:eastAsia="nl-BE"/>
        </w:rPr>
        <w:t xml:space="preserve"> sau</w:t>
      </w:r>
      <w:r w:rsidR="00EA0F5F" w:rsidRPr="00592931">
        <w:rPr>
          <w:rStyle w:val="FootnoteReference"/>
          <w:color w:val="000000" w:themeColor="text1"/>
          <w:lang w:eastAsia="nl-BE"/>
        </w:rPr>
        <w:footnoteReference w:id="29"/>
      </w:r>
      <w:r w:rsidR="00EA0F5F" w:rsidRPr="00592931">
        <w:rPr>
          <w:color w:val="000000" w:themeColor="text1"/>
          <w:lang w:eastAsia="nl-BE"/>
        </w:rPr>
        <w:t>.</w:t>
      </w:r>
    </w:p>
    <w:p w14:paraId="608FD71B" w14:textId="11E7430A" w:rsidR="00EA0F5F" w:rsidRPr="00592931" w:rsidRDefault="00AD745C" w:rsidP="00592931">
      <w:pPr>
        <w:pStyle w:val="ListParagraph"/>
        <w:numPr>
          <w:ilvl w:val="0"/>
          <w:numId w:val="45"/>
        </w:numPr>
        <w:autoSpaceDE w:val="0"/>
        <w:autoSpaceDN w:val="0"/>
        <w:adjustRightInd w:val="0"/>
        <w:spacing w:before="240" w:after="240" w:line="360" w:lineRule="auto"/>
        <w:contextualSpacing w:val="0"/>
        <w:rPr>
          <w:color w:val="000000" w:themeColor="text1"/>
          <w:lang w:eastAsia="nl-BE"/>
        </w:rPr>
      </w:pPr>
      <w:r w:rsidRPr="00592931">
        <w:rPr>
          <w:color w:val="000000" w:themeColor="text1"/>
          <w:lang w:eastAsia="nl-BE"/>
        </w:rPr>
        <w:t>Chỉ thị về việc áp dụng các quyết định của Tòa án</w:t>
      </w:r>
      <w:r w:rsidR="00776512" w:rsidRPr="00592931">
        <w:rPr>
          <w:color w:val="000000" w:themeColor="text1"/>
          <w:lang w:eastAsia="nl-BE"/>
        </w:rPr>
        <w:t xml:space="preserve"> hoặc cơ quan hành chính</w:t>
      </w:r>
      <w:r w:rsidR="00160D6E" w:rsidRPr="00592931">
        <w:rPr>
          <w:color w:val="000000" w:themeColor="text1"/>
          <w:lang w:eastAsia="nl-BE"/>
        </w:rPr>
        <w:t xml:space="preserve"> (Injunctions)</w:t>
      </w:r>
      <w:r w:rsidR="00160D6E" w:rsidRPr="00592931">
        <w:rPr>
          <w:rStyle w:val="FootnoteReference"/>
          <w:color w:val="000000" w:themeColor="text1"/>
          <w:lang w:eastAsia="nl-BE"/>
        </w:rPr>
        <w:footnoteReference w:id="30"/>
      </w:r>
      <w:r w:rsidR="00E96B88" w:rsidRPr="00592931">
        <w:rPr>
          <w:color w:val="000000" w:themeColor="text1"/>
          <w:lang w:eastAsia="nl-BE"/>
        </w:rPr>
        <w:t> : Chỉ thị 2009/22/EC</w:t>
      </w:r>
      <w:r w:rsidR="00C740F4" w:rsidRPr="00592931">
        <w:rPr>
          <w:color w:val="000000" w:themeColor="text1"/>
          <w:lang w:eastAsia="nl-BE"/>
        </w:rPr>
        <w:t xml:space="preserve"> đã được sửa đổi bổ sung vào năm 2013 và 2018</w:t>
      </w:r>
      <w:r w:rsidR="00C740F4" w:rsidRPr="00592931">
        <w:rPr>
          <w:rStyle w:val="FootnoteReference"/>
          <w:color w:val="000000" w:themeColor="text1"/>
          <w:lang w:eastAsia="nl-BE"/>
        </w:rPr>
        <w:footnoteReference w:id="31"/>
      </w:r>
      <w:r w:rsidR="00C740F4" w:rsidRPr="00592931">
        <w:rPr>
          <w:color w:val="000000" w:themeColor="text1"/>
          <w:lang w:eastAsia="nl-BE"/>
        </w:rPr>
        <w:t>.</w:t>
      </w:r>
      <w:r w:rsidRPr="00592931">
        <w:rPr>
          <w:color w:val="000000" w:themeColor="text1"/>
          <w:lang w:eastAsia="nl-BE"/>
        </w:rPr>
        <w:t xml:space="preserve"> </w:t>
      </w:r>
      <w:r w:rsidR="00B84541" w:rsidRPr="00592931">
        <w:rPr>
          <w:color w:val="000000" w:themeColor="text1"/>
          <w:lang w:eastAsia="nl-BE"/>
        </w:rPr>
        <w:t xml:space="preserve">Chỉ thị này được ban hành để đảm bảo </w:t>
      </w:r>
      <w:r w:rsidR="00776512" w:rsidRPr="00592931">
        <w:rPr>
          <w:color w:val="000000" w:themeColor="text1"/>
          <w:lang w:eastAsia="nl-BE"/>
        </w:rPr>
        <w:t>việc bảo v</w:t>
      </w:r>
      <w:r w:rsidR="00770A39" w:rsidRPr="00592931">
        <w:rPr>
          <w:color w:val="000000" w:themeColor="text1"/>
          <w:lang w:eastAsia="nl-BE"/>
        </w:rPr>
        <w:t xml:space="preserve">ệ các lợi ích chung của người tiêu dùng trong thị trường. Chỉ thị quy định rằng mọi quốc gia thành viên EU phải có </w:t>
      </w:r>
      <w:r w:rsidR="00755C5B" w:rsidRPr="00592931">
        <w:rPr>
          <w:color w:val="000000" w:themeColor="text1"/>
          <w:lang w:eastAsia="nl-BE"/>
        </w:rPr>
        <w:t xml:space="preserve">quy định về trình tự, thủ tục đối với các quyết định của Tòa án hoặc cơ quan hành chính đó </w:t>
      </w:r>
      <w:r w:rsidR="006E161F" w:rsidRPr="00592931">
        <w:rPr>
          <w:color w:val="000000" w:themeColor="text1"/>
          <w:lang w:eastAsia="nl-BE"/>
        </w:rPr>
        <w:t xml:space="preserve">để đảm bảo </w:t>
      </w:r>
      <w:r w:rsidR="00F230B0" w:rsidRPr="00592931">
        <w:rPr>
          <w:color w:val="000000" w:themeColor="text1"/>
          <w:lang w:eastAsia="nl-BE"/>
        </w:rPr>
        <w:t>chấm dứt các hành vi vi phạm quyền của người tiêu dùng</w:t>
      </w:r>
      <w:r w:rsidR="00A41DEA" w:rsidRPr="00592931">
        <w:rPr>
          <w:color w:val="000000" w:themeColor="text1"/>
          <w:lang w:eastAsia="nl-BE"/>
        </w:rPr>
        <w:t xml:space="preserve">. Ngày 15/07/2019, Ủy ban Châu Âu đã ban hành Thông báo 2019/C 273/03 </w:t>
      </w:r>
      <w:r w:rsidR="007D38A4" w:rsidRPr="00592931">
        <w:rPr>
          <w:color w:val="000000" w:themeColor="text1"/>
          <w:lang w:eastAsia="nl-BE"/>
        </w:rPr>
        <w:t xml:space="preserve">liên quan đến các tổ chức </w:t>
      </w:r>
      <w:r w:rsidR="00866C1D" w:rsidRPr="00592931">
        <w:rPr>
          <w:color w:val="000000" w:themeColor="text1"/>
          <w:lang w:eastAsia="nl-BE"/>
        </w:rPr>
        <w:t xml:space="preserve">đủ điều kiện và được chấp thuận để khiếu nại hoặc khởi kiện </w:t>
      </w:r>
      <w:r w:rsidR="00500EFD" w:rsidRPr="00592931">
        <w:rPr>
          <w:color w:val="000000" w:themeColor="text1"/>
          <w:lang w:eastAsia="nl-BE"/>
        </w:rPr>
        <w:t>nhằm bảo vệ quyền và lợi ích của người tiêu dùng</w:t>
      </w:r>
      <w:r w:rsidR="00ED360A" w:rsidRPr="00592931">
        <w:rPr>
          <w:rStyle w:val="FootnoteReference"/>
          <w:color w:val="000000" w:themeColor="text1"/>
          <w:lang w:eastAsia="nl-BE"/>
        </w:rPr>
        <w:footnoteReference w:id="32"/>
      </w:r>
      <w:r w:rsidR="009956FA" w:rsidRPr="00592931">
        <w:rPr>
          <w:color w:val="000000" w:themeColor="text1"/>
          <w:lang w:eastAsia="nl-BE"/>
        </w:rPr>
        <w:t>.</w:t>
      </w:r>
    </w:p>
    <w:p w14:paraId="700398A4" w14:textId="062E7187" w:rsidR="00A7156C" w:rsidRPr="002A7162" w:rsidRDefault="00A7156C" w:rsidP="00592931">
      <w:pPr>
        <w:pStyle w:val="ListParagraph"/>
        <w:numPr>
          <w:ilvl w:val="0"/>
          <w:numId w:val="45"/>
        </w:numPr>
        <w:autoSpaceDE w:val="0"/>
        <w:autoSpaceDN w:val="0"/>
        <w:adjustRightInd w:val="0"/>
        <w:spacing w:before="240" w:after="240" w:line="360" w:lineRule="auto"/>
        <w:contextualSpacing w:val="0"/>
        <w:rPr>
          <w:color w:val="000000" w:themeColor="text1"/>
          <w:lang w:val="en-US" w:eastAsia="nl-BE"/>
        </w:rPr>
      </w:pPr>
      <w:r w:rsidRPr="002A7162">
        <w:rPr>
          <w:color w:val="000000" w:themeColor="text1"/>
          <w:lang w:val="en-US" w:eastAsia="nl-BE"/>
        </w:rPr>
        <w:t xml:space="preserve">Chỉ thị về </w:t>
      </w:r>
      <w:r w:rsidR="008E36B1" w:rsidRPr="002A7162">
        <w:rPr>
          <w:color w:val="000000" w:themeColor="text1"/>
          <w:lang w:val="en-US" w:eastAsia="nl-BE"/>
        </w:rPr>
        <w:t>ghi</w:t>
      </w:r>
      <w:r w:rsidRPr="002A7162">
        <w:rPr>
          <w:color w:val="000000" w:themeColor="text1"/>
          <w:lang w:val="en-US" w:eastAsia="nl-BE"/>
        </w:rPr>
        <w:t xml:space="preserve"> giá (Price indication)</w:t>
      </w:r>
      <w:r w:rsidRPr="00592931">
        <w:rPr>
          <w:rStyle w:val="FootnoteReference"/>
          <w:color w:val="000000" w:themeColor="text1"/>
          <w:lang w:eastAsia="nl-BE"/>
        </w:rPr>
        <w:footnoteReference w:id="33"/>
      </w:r>
      <w:r w:rsidRPr="002A7162">
        <w:rPr>
          <w:color w:val="000000" w:themeColor="text1"/>
          <w:lang w:val="en-US" w:eastAsia="nl-BE"/>
        </w:rPr>
        <w:t xml:space="preserve">: </w:t>
      </w:r>
      <w:r w:rsidR="00850D31" w:rsidRPr="002A7162">
        <w:rPr>
          <w:color w:val="000000" w:themeColor="text1"/>
          <w:lang w:val="en-US" w:eastAsia="nl-BE"/>
        </w:rPr>
        <w:t>Chỉ thị 98/6/EC</w:t>
      </w:r>
      <w:r w:rsidR="00C979CF" w:rsidRPr="002A7162">
        <w:rPr>
          <w:color w:val="000000" w:themeColor="text1"/>
          <w:lang w:val="en-US" w:eastAsia="nl-BE"/>
        </w:rPr>
        <w:t xml:space="preserve"> ngày 16/02/1998</w:t>
      </w:r>
      <w:r w:rsidR="00C979CF" w:rsidRPr="00592931">
        <w:rPr>
          <w:rStyle w:val="FootnoteReference"/>
          <w:color w:val="000000" w:themeColor="text1"/>
          <w:lang w:eastAsia="nl-BE"/>
        </w:rPr>
        <w:footnoteReference w:id="34"/>
      </w:r>
      <w:r w:rsidR="00C979CF" w:rsidRPr="002A7162">
        <w:rPr>
          <w:color w:val="000000" w:themeColor="text1"/>
          <w:lang w:val="en-US" w:eastAsia="nl-BE"/>
        </w:rPr>
        <w:t xml:space="preserve">. </w:t>
      </w:r>
      <w:r w:rsidR="000B317A" w:rsidRPr="002A7162">
        <w:rPr>
          <w:color w:val="000000" w:themeColor="text1"/>
          <w:lang w:val="en-US" w:eastAsia="nl-BE"/>
        </w:rPr>
        <w:t xml:space="preserve">Chỉ thị này được ban hành để đảm bảo rằng giá bán hàng hóa và dịch vụ </w:t>
      </w:r>
      <w:r w:rsidR="0065721F" w:rsidRPr="002A7162">
        <w:rPr>
          <w:color w:val="000000" w:themeColor="text1"/>
          <w:lang w:val="en-US" w:eastAsia="nl-BE"/>
        </w:rPr>
        <w:t>cho mọi sản phẩm là giống nhau.</w:t>
      </w:r>
      <w:r w:rsidR="004700FC" w:rsidRPr="002A7162">
        <w:rPr>
          <w:color w:val="000000" w:themeColor="text1"/>
          <w:lang w:val="en-US" w:eastAsia="nl-BE"/>
        </w:rPr>
        <w:t xml:space="preserve"> Người tiêu dùng có thể dễ dàng so sánh giá của hàng hóa trên cơ sở giá bán phải được ghi rõ ràng, không mơ hồ</w:t>
      </w:r>
      <w:r w:rsidR="008E36B1" w:rsidRPr="002A7162">
        <w:rPr>
          <w:color w:val="000000" w:themeColor="text1"/>
          <w:lang w:val="en-US" w:eastAsia="nl-BE"/>
        </w:rPr>
        <w:t>.</w:t>
      </w:r>
      <w:r w:rsidR="001C7757" w:rsidRPr="002A7162">
        <w:rPr>
          <w:color w:val="000000" w:themeColor="text1"/>
          <w:lang w:val="en-US" w:eastAsia="nl-BE"/>
        </w:rPr>
        <w:t xml:space="preserve"> Ngày 21/06/2006, Ủy ban Châu Âu đã ban hành Thông báo hướng dẫn một số nội dung của Chỉ thị này</w:t>
      </w:r>
      <w:r w:rsidR="001C7757" w:rsidRPr="00592931">
        <w:rPr>
          <w:rStyle w:val="FootnoteReference"/>
          <w:color w:val="000000" w:themeColor="text1"/>
          <w:lang w:eastAsia="nl-BE"/>
        </w:rPr>
        <w:footnoteReference w:id="35"/>
      </w:r>
      <w:r w:rsidR="001C7757" w:rsidRPr="002A7162">
        <w:rPr>
          <w:color w:val="000000" w:themeColor="text1"/>
          <w:lang w:val="en-US" w:eastAsia="nl-BE"/>
        </w:rPr>
        <w:t xml:space="preserve">. Một số ví dụ </w:t>
      </w:r>
      <w:r w:rsidR="00DF339F" w:rsidRPr="002A7162">
        <w:rPr>
          <w:color w:val="000000" w:themeColor="text1"/>
          <w:lang w:val="en-US" w:eastAsia="nl-BE"/>
        </w:rPr>
        <w:t>về ghi giá</w:t>
      </w:r>
      <w:r w:rsidR="001C7757" w:rsidRPr="002A7162">
        <w:rPr>
          <w:color w:val="000000" w:themeColor="text1"/>
          <w:lang w:val="en-US" w:eastAsia="nl-BE"/>
        </w:rPr>
        <w:t xml:space="preserve"> có thể được tìm tại hướng dẫn sau</w:t>
      </w:r>
      <w:r w:rsidR="00DF339F" w:rsidRPr="00592931">
        <w:rPr>
          <w:rStyle w:val="FootnoteReference"/>
          <w:color w:val="000000" w:themeColor="text1"/>
          <w:lang w:eastAsia="nl-BE"/>
        </w:rPr>
        <w:footnoteReference w:id="36"/>
      </w:r>
      <w:r w:rsidR="00DF339F" w:rsidRPr="002A7162">
        <w:rPr>
          <w:color w:val="000000" w:themeColor="text1"/>
          <w:lang w:val="en-US" w:eastAsia="nl-BE"/>
        </w:rPr>
        <w:t>.</w:t>
      </w:r>
    </w:p>
    <w:p w14:paraId="1EF3FBF4" w14:textId="567AD011" w:rsidR="00874BE8" w:rsidRPr="002A7162" w:rsidRDefault="00570C44" w:rsidP="00592931">
      <w:pPr>
        <w:pStyle w:val="ListParagraph"/>
        <w:numPr>
          <w:ilvl w:val="0"/>
          <w:numId w:val="44"/>
        </w:numPr>
        <w:autoSpaceDE w:val="0"/>
        <w:autoSpaceDN w:val="0"/>
        <w:adjustRightInd w:val="0"/>
        <w:spacing w:before="240" w:after="240" w:line="360" w:lineRule="auto"/>
        <w:ind w:hanging="720"/>
        <w:contextualSpacing w:val="0"/>
        <w:rPr>
          <w:color w:val="000000" w:themeColor="text1"/>
          <w:lang w:val="en-US" w:eastAsia="nl-BE"/>
        </w:rPr>
      </w:pPr>
      <w:r w:rsidRPr="002A7162">
        <w:rPr>
          <w:color w:val="000000" w:themeColor="text1"/>
          <w:lang w:val="en-US" w:eastAsia="nl-BE"/>
        </w:rPr>
        <w:t xml:space="preserve">Ngoài ra, </w:t>
      </w:r>
      <w:r w:rsidR="00A808BE" w:rsidRPr="002A7162">
        <w:rPr>
          <w:color w:val="000000" w:themeColor="text1"/>
          <w:lang w:val="en-US" w:eastAsia="nl-BE"/>
        </w:rPr>
        <w:t>EU còn ban hành Chỉ thị 1999/44/EC ngày 25/05/1999</w:t>
      </w:r>
      <w:r w:rsidR="00FD6D3C" w:rsidRPr="002A7162">
        <w:rPr>
          <w:color w:val="000000" w:themeColor="text1"/>
          <w:lang w:val="en-US" w:eastAsia="nl-BE"/>
        </w:rPr>
        <w:t xml:space="preserve">, sửa đổi năm 2011 về một số khía cạnh của mua bán hàng hóa đối với người tiêu dùng và </w:t>
      </w:r>
      <w:r w:rsidR="002678FE" w:rsidRPr="002A7162">
        <w:rPr>
          <w:color w:val="000000" w:themeColor="text1"/>
          <w:lang w:val="en-US" w:eastAsia="nl-BE"/>
        </w:rPr>
        <w:t>các vấn đề bảo hành kèm theo</w:t>
      </w:r>
      <w:r w:rsidR="002678FE" w:rsidRPr="00592931">
        <w:rPr>
          <w:rStyle w:val="FootnoteReference"/>
          <w:color w:val="000000" w:themeColor="text1"/>
          <w:lang w:eastAsia="nl-BE"/>
        </w:rPr>
        <w:footnoteReference w:id="37"/>
      </w:r>
      <w:r w:rsidR="002678FE" w:rsidRPr="002A7162">
        <w:rPr>
          <w:color w:val="000000" w:themeColor="text1"/>
          <w:lang w:val="en-US" w:eastAsia="nl-BE"/>
        </w:rPr>
        <w:t xml:space="preserve">. </w:t>
      </w:r>
      <w:r w:rsidR="00F341A0" w:rsidRPr="002A7162">
        <w:rPr>
          <w:color w:val="000000" w:themeColor="text1"/>
          <w:lang w:val="en-US" w:eastAsia="nl-BE"/>
        </w:rPr>
        <w:t>Chỉ thị này</w:t>
      </w:r>
      <w:r w:rsidR="00A57239" w:rsidRPr="002A7162">
        <w:rPr>
          <w:color w:val="000000" w:themeColor="text1"/>
          <w:lang w:val="en-US" w:eastAsia="nl-BE"/>
        </w:rPr>
        <w:t xml:space="preserve"> được ban hành để đảm bảo chất lượng hàng hóa được người bán bán cho người mua phải tuân thủ các điều </w:t>
      </w:r>
      <w:r w:rsidR="00864A69" w:rsidRPr="002A7162">
        <w:rPr>
          <w:color w:val="000000" w:themeColor="text1"/>
          <w:lang w:val="en-US" w:eastAsia="nl-BE"/>
        </w:rPr>
        <w:t xml:space="preserve">kiện trong hợp đồng mua bán trong thời hạn tối thiểu là 02 năm sau khi giao hàng. </w:t>
      </w:r>
      <w:r w:rsidR="00BB316B" w:rsidRPr="002A7162">
        <w:rPr>
          <w:color w:val="000000" w:themeColor="text1"/>
          <w:lang w:val="en-US" w:eastAsia="nl-BE"/>
        </w:rPr>
        <w:t>Nếu hàng hóa không đúng với chất lượng được quy định, người tiêu dùng được quyền yêu cầu sửa chữa, thay thế và giảm giá</w:t>
      </w:r>
      <w:r w:rsidR="00307219" w:rsidRPr="002A7162">
        <w:rPr>
          <w:color w:val="000000" w:themeColor="text1"/>
          <w:lang w:val="en-US" w:eastAsia="nl-BE"/>
        </w:rPr>
        <w:t xml:space="preserve"> hoặc hủy hợp đồng. Các quốc gia thành viên EU, theo luật của quốc gia mình, có thể </w:t>
      </w:r>
      <w:r w:rsidR="00F659B3" w:rsidRPr="002A7162">
        <w:rPr>
          <w:color w:val="000000" w:themeColor="text1"/>
          <w:lang w:val="en-US" w:eastAsia="nl-BE"/>
        </w:rPr>
        <w:t>yêu cầu người mua phải thông báo cho người bán về việc hàng hóa không đảm bảo chất lượng trong thời hạn 02 tháng kể từ ngày phát hiện lỗi hàng hóa</w:t>
      </w:r>
      <w:r w:rsidR="00994C35" w:rsidRPr="002A7162">
        <w:rPr>
          <w:color w:val="000000" w:themeColor="text1"/>
          <w:lang w:val="en-US" w:eastAsia="nl-BE"/>
        </w:rPr>
        <w:t xml:space="preserve">. Kể từ ngày 01/01/2022, Chỉ thị này sẽ được thay thế bởi Chỉ thị </w:t>
      </w:r>
      <w:r w:rsidR="001B549D" w:rsidRPr="002A7162">
        <w:rPr>
          <w:color w:val="000000" w:themeColor="text1"/>
          <w:lang w:val="en-US" w:eastAsia="nl-BE"/>
        </w:rPr>
        <w:t>2019/771</w:t>
      </w:r>
      <w:r w:rsidR="00772886" w:rsidRPr="002A7162">
        <w:rPr>
          <w:color w:val="000000" w:themeColor="text1"/>
          <w:lang w:val="en-US" w:eastAsia="nl-BE"/>
        </w:rPr>
        <w:t xml:space="preserve"> ngày 20/05/2019</w:t>
      </w:r>
      <w:r w:rsidR="009C12B5" w:rsidRPr="00592931">
        <w:rPr>
          <w:rStyle w:val="FootnoteReference"/>
          <w:color w:val="000000" w:themeColor="text1"/>
          <w:lang w:eastAsia="nl-BE"/>
        </w:rPr>
        <w:footnoteReference w:id="38"/>
      </w:r>
      <w:r w:rsidR="001128A4" w:rsidRPr="002A7162">
        <w:rPr>
          <w:color w:val="000000" w:themeColor="text1"/>
          <w:lang w:val="en-US" w:eastAsia="nl-BE"/>
        </w:rPr>
        <w:t>. Một số ví dụ về bảo hành và trả lại hàng có thể được tìm tại hướng dẫn sau</w:t>
      </w:r>
      <w:r w:rsidR="001128A4" w:rsidRPr="00592931">
        <w:rPr>
          <w:rStyle w:val="FootnoteReference"/>
          <w:color w:val="000000" w:themeColor="text1"/>
          <w:lang w:eastAsia="nl-BE"/>
        </w:rPr>
        <w:footnoteReference w:id="39"/>
      </w:r>
      <w:r w:rsidR="001128A4" w:rsidRPr="002A7162">
        <w:rPr>
          <w:color w:val="000000" w:themeColor="text1"/>
          <w:lang w:val="en-US" w:eastAsia="nl-BE"/>
        </w:rPr>
        <w:t>.</w:t>
      </w:r>
    </w:p>
    <w:p w14:paraId="408CFE08" w14:textId="41C094BC" w:rsidR="005532F9" w:rsidRPr="002A7162" w:rsidRDefault="005532F9" w:rsidP="00592931">
      <w:pPr>
        <w:pStyle w:val="ListParagraph"/>
        <w:numPr>
          <w:ilvl w:val="0"/>
          <w:numId w:val="44"/>
        </w:numPr>
        <w:autoSpaceDE w:val="0"/>
        <w:autoSpaceDN w:val="0"/>
        <w:adjustRightInd w:val="0"/>
        <w:spacing w:before="240" w:after="240" w:line="360" w:lineRule="auto"/>
        <w:ind w:hanging="720"/>
        <w:contextualSpacing w:val="0"/>
        <w:rPr>
          <w:color w:val="000000" w:themeColor="text1"/>
          <w:lang w:val="en-US" w:eastAsia="nl-BE"/>
        </w:rPr>
      </w:pPr>
      <w:r w:rsidRPr="002A7162">
        <w:rPr>
          <w:color w:val="000000" w:themeColor="text1"/>
          <w:lang w:val="en-US" w:eastAsia="nl-BE"/>
        </w:rPr>
        <w:t>Về hợp tác nội khối trong</w:t>
      </w:r>
      <w:r w:rsidR="007053BF" w:rsidRPr="002A7162">
        <w:rPr>
          <w:color w:val="000000" w:themeColor="text1"/>
          <w:lang w:val="en-US" w:eastAsia="nl-BE"/>
        </w:rPr>
        <w:t xml:space="preserve"> việc bảo vệ quyền lợi người tiêu dùng</w:t>
      </w:r>
      <w:r w:rsidR="00A15DDC" w:rsidRPr="002A7162">
        <w:rPr>
          <w:color w:val="000000" w:themeColor="text1"/>
          <w:lang w:val="en-US" w:eastAsia="nl-BE"/>
        </w:rPr>
        <w:t xml:space="preserve"> (Consumer protection cooperation)</w:t>
      </w:r>
      <w:r w:rsidR="007113FD" w:rsidRPr="00592931">
        <w:rPr>
          <w:rStyle w:val="FootnoteReference"/>
          <w:color w:val="000000" w:themeColor="text1"/>
          <w:lang w:eastAsia="nl-BE"/>
        </w:rPr>
        <w:footnoteReference w:id="40"/>
      </w:r>
      <w:r w:rsidR="001F13E5" w:rsidRPr="002A7162">
        <w:rPr>
          <w:color w:val="000000" w:themeColor="text1"/>
          <w:lang w:val="en-US" w:eastAsia="nl-BE"/>
        </w:rPr>
        <w:t xml:space="preserve">: </w:t>
      </w:r>
      <w:r w:rsidR="00234860" w:rsidRPr="002A7162">
        <w:rPr>
          <w:color w:val="000000" w:themeColor="text1"/>
          <w:lang w:val="en-US" w:eastAsia="nl-BE"/>
        </w:rPr>
        <w:t>Quy định (Regulation) 2017/2394 ngày 12/12/2017</w:t>
      </w:r>
      <w:r w:rsidR="00234860" w:rsidRPr="00592931">
        <w:rPr>
          <w:rStyle w:val="FootnoteReference"/>
          <w:color w:val="000000" w:themeColor="text1"/>
          <w:lang w:eastAsia="nl-BE"/>
        </w:rPr>
        <w:footnoteReference w:id="41"/>
      </w:r>
      <w:r w:rsidR="000F6AE1" w:rsidRPr="002A7162">
        <w:rPr>
          <w:color w:val="000000" w:themeColor="text1"/>
          <w:lang w:val="en-US" w:eastAsia="nl-BE"/>
        </w:rPr>
        <w:t xml:space="preserve">. </w:t>
      </w:r>
      <w:r w:rsidR="005D21D0" w:rsidRPr="002A7162">
        <w:rPr>
          <w:color w:val="000000" w:themeColor="text1"/>
          <w:lang w:val="en-US" w:eastAsia="nl-BE"/>
        </w:rPr>
        <w:t>Quy định này đặt ra khuôn khổ hợp tác để</w:t>
      </w:r>
      <w:r w:rsidR="005B4E6A" w:rsidRPr="002A7162">
        <w:rPr>
          <w:color w:val="000000" w:themeColor="text1"/>
          <w:lang w:val="en-US" w:eastAsia="nl-BE"/>
        </w:rPr>
        <w:t xml:space="preserve"> các cơ quan có thẩm quyền trong khối cùng giải quyết các vấn đề </w:t>
      </w:r>
      <w:proofErr w:type="gramStart"/>
      <w:r w:rsidR="005B4E6A" w:rsidRPr="002A7162">
        <w:rPr>
          <w:color w:val="000000" w:themeColor="text1"/>
          <w:lang w:val="en-US" w:eastAsia="nl-BE"/>
        </w:rPr>
        <w:t>vi</w:t>
      </w:r>
      <w:proofErr w:type="gramEnd"/>
      <w:r w:rsidR="005B4E6A" w:rsidRPr="002A7162">
        <w:rPr>
          <w:color w:val="000000" w:themeColor="text1"/>
          <w:lang w:val="en-US" w:eastAsia="nl-BE"/>
        </w:rPr>
        <w:t xml:space="preserve"> phạm quyền của người tiêu dùng</w:t>
      </w:r>
      <w:r w:rsidR="00167DDF" w:rsidRPr="002A7162">
        <w:rPr>
          <w:color w:val="000000" w:themeColor="text1"/>
          <w:lang w:val="en-US" w:eastAsia="nl-BE"/>
        </w:rPr>
        <w:t xml:space="preserve"> khi người bán và người mua đến từ các quốc gia khác nhau.</w:t>
      </w:r>
    </w:p>
    <w:p w14:paraId="666BC0C4" w14:textId="6B59DA63" w:rsidR="007053BF" w:rsidRPr="002A7162" w:rsidRDefault="007053BF" w:rsidP="00592931">
      <w:pPr>
        <w:pStyle w:val="ListParagraph"/>
        <w:numPr>
          <w:ilvl w:val="0"/>
          <w:numId w:val="44"/>
        </w:numPr>
        <w:autoSpaceDE w:val="0"/>
        <w:autoSpaceDN w:val="0"/>
        <w:adjustRightInd w:val="0"/>
        <w:spacing w:before="240" w:after="240" w:line="360" w:lineRule="auto"/>
        <w:ind w:hanging="720"/>
        <w:contextualSpacing w:val="0"/>
        <w:rPr>
          <w:color w:val="000000" w:themeColor="text1"/>
          <w:lang w:val="en-US" w:eastAsia="nl-BE"/>
        </w:rPr>
      </w:pPr>
      <w:r w:rsidRPr="002A7162">
        <w:rPr>
          <w:color w:val="000000" w:themeColor="text1"/>
          <w:lang w:val="en-US" w:eastAsia="nl-BE"/>
        </w:rPr>
        <w:t xml:space="preserve">Các cá nhân, tổ chức có thể </w:t>
      </w:r>
      <w:r w:rsidR="00363556" w:rsidRPr="002A7162">
        <w:rPr>
          <w:color w:val="000000" w:themeColor="text1"/>
          <w:lang w:val="en-US" w:eastAsia="nl-BE"/>
        </w:rPr>
        <w:t>tìm kiếm tất cả các thông tin về quyền và lợi ích hợp pháp của người tiêu dùng tại EU trên website của Ủy ban Châu Âu</w:t>
      </w:r>
      <w:r w:rsidR="00D43380" w:rsidRPr="00592931">
        <w:rPr>
          <w:rStyle w:val="FootnoteReference"/>
          <w:color w:val="000000" w:themeColor="text1"/>
          <w:lang w:eastAsia="nl-BE"/>
        </w:rPr>
        <w:footnoteReference w:id="42"/>
      </w:r>
      <w:r w:rsidR="006C7436" w:rsidRPr="002A7162">
        <w:rPr>
          <w:color w:val="000000" w:themeColor="text1"/>
          <w:lang w:val="en-US" w:eastAsia="nl-BE"/>
        </w:rPr>
        <w:t>.</w:t>
      </w:r>
      <w:r w:rsidR="00600092" w:rsidRPr="002A7162">
        <w:rPr>
          <w:color w:val="000000" w:themeColor="text1"/>
          <w:lang w:val="en-US" w:eastAsia="nl-BE"/>
        </w:rPr>
        <w:t xml:space="preserve"> EU cũng đã xây dựng Mạng lưới</w:t>
      </w:r>
      <w:r w:rsidR="005333A2" w:rsidRPr="002A7162">
        <w:rPr>
          <w:color w:val="000000" w:themeColor="text1"/>
          <w:lang w:val="en-US" w:eastAsia="nl-BE"/>
        </w:rPr>
        <w:t xml:space="preserve"> các trung tâm bảo vệ quyền của người tiêu dùng (European Consumer Centres Network – ECC Net) để </w:t>
      </w:r>
      <w:r w:rsidR="00A426FA" w:rsidRPr="002A7162">
        <w:rPr>
          <w:color w:val="000000" w:themeColor="text1"/>
          <w:lang w:val="en-US" w:eastAsia="nl-BE"/>
        </w:rPr>
        <w:t xml:space="preserve">hướng dẫn, giải thích quyền của người tiêu </w:t>
      </w:r>
      <w:proofErr w:type="gramStart"/>
      <w:r w:rsidR="00A426FA" w:rsidRPr="002A7162">
        <w:rPr>
          <w:color w:val="000000" w:themeColor="text1"/>
          <w:lang w:val="en-US" w:eastAsia="nl-BE"/>
        </w:rPr>
        <w:t>dùng ;</w:t>
      </w:r>
      <w:proofErr w:type="gramEnd"/>
      <w:r w:rsidR="00A426FA" w:rsidRPr="002A7162">
        <w:rPr>
          <w:color w:val="000000" w:themeColor="text1"/>
          <w:lang w:val="en-US" w:eastAsia="nl-BE"/>
        </w:rPr>
        <w:t xml:space="preserve"> hỗ trợ giải quyết tranh chấp với người bán</w:t>
      </w:r>
      <w:r w:rsidR="008E1577" w:rsidRPr="00592931">
        <w:rPr>
          <w:rStyle w:val="FootnoteReference"/>
          <w:color w:val="000000" w:themeColor="text1"/>
          <w:lang w:eastAsia="nl-BE"/>
        </w:rPr>
        <w:footnoteReference w:id="43"/>
      </w:r>
      <w:r w:rsidR="008E1577" w:rsidRPr="002A7162">
        <w:rPr>
          <w:color w:val="000000" w:themeColor="text1"/>
          <w:lang w:val="en-US" w:eastAsia="nl-BE"/>
        </w:rPr>
        <w:t>.</w:t>
      </w:r>
    </w:p>
    <w:p w14:paraId="77C36504" w14:textId="6B3DCDE4" w:rsidR="0038057C" w:rsidRPr="00592931" w:rsidRDefault="0038057C" w:rsidP="00592931">
      <w:pPr>
        <w:pStyle w:val="Heading1"/>
        <w:spacing w:before="240" w:after="240" w:line="360" w:lineRule="auto"/>
        <w:ind w:left="734" w:hanging="734"/>
        <w:rPr>
          <w:rFonts w:cs="Times New Roman"/>
        </w:rPr>
      </w:pPr>
      <w:bookmarkStart w:id="3" w:name="_Toc38217954"/>
      <w:r w:rsidRPr="00592931">
        <w:rPr>
          <w:rFonts w:cs="Times New Roman"/>
        </w:rPr>
        <w:t>PHÁP LUẬT VỀ CẠNH TRANH</w:t>
      </w:r>
      <w:bookmarkEnd w:id="3"/>
    </w:p>
    <w:p w14:paraId="23D12FA1" w14:textId="594D53C3" w:rsidR="00552E2F" w:rsidRPr="002A7162" w:rsidRDefault="00552E2F" w:rsidP="00FA572C">
      <w:pPr>
        <w:pStyle w:val="ListParagraph"/>
        <w:numPr>
          <w:ilvl w:val="0"/>
          <w:numId w:val="46"/>
        </w:numPr>
        <w:autoSpaceDE w:val="0"/>
        <w:autoSpaceDN w:val="0"/>
        <w:adjustRightInd w:val="0"/>
        <w:spacing w:before="240" w:after="240" w:line="360" w:lineRule="auto"/>
        <w:ind w:hanging="720"/>
        <w:contextualSpacing w:val="0"/>
        <w:rPr>
          <w:color w:val="000000" w:themeColor="text1"/>
          <w:lang w:val="nl-BE" w:eastAsia="nl-BE"/>
        </w:rPr>
      </w:pPr>
      <w:r w:rsidRPr="002A7162">
        <w:rPr>
          <w:color w:val="000000" w:themeColor="text1"/>
          <w:lang w:val="nl-BE" w:eastAsia="nl-BE"/>
        </w:rPr>
        <w:t xml:space="preserve">Hệ thống pháp luật về cạnh tranh của EU </w:t>
      </w:r>
      <w:r w:rsidR="00523EC5" w:rsidRPr="002A7162">
        <w:rPr>
          <w:color w:val="000000" w:themeColor="text1"/>
          <w:lang w:val="nl-BE" w:eastAsia="nl-BE"/>
        </w:rPr>
        <w:t>chịu ảnh hưởng bởi Đạo luật Sherman năm 1890 và Đạo luật Clayton năm 1914 của Hoa Kỳ</w:t>
      </w:r>
      <w:r w:rsidR="005763FE" w:rsidRPr="002A7162">
        <w:rPr>
          <w:color w:val="000000" w:themeColor="text1"/>
          <w:lang w:val="nl-BE" w:eastAsia="nl-BE"/>
        </w:rPr>
        <w:t>. P</w:t>
      </w:r>
      <w:r w:rsidR="00523EC5" w:rsidRPr="002A7162">
        <w:rPr>
          <w:color w:val="000000" w:themeColor="text1"/>
          <w:lang w:val="nl-BE" w:eastAsia="nl-BE"/>
        </w:rPr>
        <w:t xml:space="preserve">háp luật cạnh tranh châu Âu ngày nay </w:t>
      </w:r>
      <w:r w:rsidR="0049745B" w:rsidRPr="002A7162">
        <w:rPr>
          <w:color w:val="000000" w:themeColor="text1"/>
          <w:lang w:val="nl-BE" w:eastAsia="nl-BE"/>
        </w:rPr>
        <w:t>được quy định</w:t>
      </w:r>
      <w:r w:rsidR="00523EC5" w:rsidRPr="002A7162">
        <w:rPr>
          <w:color w:val="000000" w:themeColor="text1"/>
          <w:lang w:val="nl-BE" w:eastAsia="nl-BE"/>
        </w:rPr>
        <w:t xml:space="preserve"> chủ yếu từ các điều 101 đến 109 của Hiệp ước về các chức năng của Liên minh châu Âu, cũng như một loạt các </w:t>
      </w:r>
      <w:r w:rsidR="009A68F9" w:rsidRPr="002A7162">
        <w:rPr>
          <w:color w:val="000000" w:themeColor="text1"/>
          <w:lang w:val="nl-BE" w:eastAsia="nl-BE"/>
        </w:rPr>
        <w:t>Q</w:t>
      </w:r>
      <w:r w:rsidR="00523EC5" w:rsidRPr="002A7162">
        <w:rPr>
          <w:color w:val="000000" w:themeColor="text1"/>
          <w:lang w:val="nl-BE" w:eastAsia="nl-BE"/>
        </w:rPr>
        <w:t xml:space="preserve">uy định </w:t>
      </w:r>
      <w:r w:rsidR="009A68F9" w:rsidRPr="002A7162">
        <w:rPr>
          <w:color w:val="000000" w:themeColor="text1"/>
          <w:lang w:val="nl-BE" w:eastAsia="nl-BE"/>
        </w:rPr>
        <w:t>(Regulation),</w:t>
      </w:r>
      <w:r w:rsidR="00D521B7" w:rsidRPr="002A7162">
        <w:rPr>
          <w:color w:val="000000" w:themeColor="text1"/>
          <w:lang w:val="nl-BE" w:eastAsia="nl-BE"/>
        </w:rPr>
        <w:t xml:space="preserve"> Thông báo (Notice) </w:t>
      </w:r>
      <w:r w:rsidR="009A68F9" w:rsidRPr="002A7162">
        <w:rPr>
          <w:color w:val="000000" w:themeColor="text1"/>
          <w:lang w:val="nl-BE" w:eastAsia="nl-BE"/>
        </w:rPr>
        <w:t xml:space="preserve">và </w:t>
      </w:r>
      <w:r w:rsidR="00D521B7" w:rsidRPr="002A7162">
        <w:rPr>
          <w:color w:val="000000" w:themeColor="text1"/>
          <w:lang w:val="nl-BE" w:eastAsia="nl-BE"/>
        </w:rPr>
        <w:t>H</w:t>
      </w:r>
      <w:r w:rsidR="009A68F9" w:rsidRPr="002A7162">
        <w:rPr>
          <w:color w:val="000000" w:themeColor="text1"/>
          <w:lang w:val="nl-BE" w:eastAsia="nl-BE"/>
        </w:rPr>
        <w:t>ướng dẫn (Guid</w:t>
      </w:r>
      <w:r w:rsidR="005A172E" w:rsidRPr="002A7162">
        <w:rPr>
          <w:color w:val="000000" w:themeColor="text1"/>
          <w:lang w:val="nl-BE" w:eastAsia="nl-BE"/>
        </w:rPr>
        <w:t>eline</w:t>
      </w:r>
      <w:r w:rsidR="009A68F9" w:rsidRPr="002A7162">
        <w:rPr>
          <w:color w:val="000000" w:themeColor="text1"/>
          <w:lang w:val="nl-BE" w:eastAsia="nl-BE"/>
        </w:rPr>
        <w:t>)</w:t>
      </w:r>
      <w:r w:rsidR="00556127" w:rsidRPr="002A7162">
        <w:rPr>
          <w:color w:val="000000" w:themeColor="text1"/>
          <w:lang w:val="nl-BE" w:eastAsia="nl-BE"/>
        </w:rPr>
        <w:t>.</w:t>
      </w:r>
      <w:r w:rsidR="0036758F" w:rsidRPr="002A7162">
        <w:rPr>
          <w:color w:val="000000" w:themeColor="text1"/>
          <w:lang w:val="nl-BE" w:eastAsia="nl-BE"/>
        </w:rPr>
        <w:t xml:space="preserve"> Các văn bản này </w:t>
      </w:r>
      <w:r w:rsidR="00AE4A60" w:rsidRPr="002A7162">
        <w:rPr>
          <w:color w:val="000000" w:themeColor="text1"/>
          <w:lang w:val="nl-BE" w:eastAsia="nl-BE"/>
        </w:rPr>
        <w:t xml:space="preserve">phần lớn </w:t>
      </w:r>
      <w:r w:rsidR="0036758F" w:rsidRPr="002A7162">
        <w:rPr>
          <w:color w:val="000000" w:themeColor="text1"/>
          <w:lang w:val="nl-BE" w:eastAsia="nl-BE"/>
        </w:rPr>
        <w:t>đều được ban hành bởi Ủy ban Châu Âu</w:t>
      </w:r>
      <w:r w:rsidR="005615AF" w:rsidRPr="002A7162">
        <w:rPr>
          <w:color w:val="000000" w:themeColor="text1"/>
          <w:lang w:val="nl-BE" w:eastAsia="nl-BE"/>
        </w:rPr>
        <w:t>.</w:t>
      </w:r>
    </w:p>
    <w:p w14:paraId="33F577D0" w14:textId="01D155A8" w:rsidR="005763FE" w:rsidRPr="002214DA" w:rsidRDefault="00244D6D" w:rsidP="00FA572C">
      <w:pPr>
        <w:pStyle w:val="ListParagraph"/>
        <w:numPr>
          <w:ilvl w:val="0"/>
          <w:numId w:val="46"/>
        </w:numPr>
        <w:autoSpaceDE w:val="0"/>
        <w:autoSpaceDN w:val="0"/>
        <w:adjustRightInd w:val="0"/>
        <w:spacing w:before="240" w:after="240" w:line="360" w:lineRule="auto"/>
        <w:ind w:hanging="720"/>
        <w:contextualSpacing w:val="0"/>
        <w:rPr>
          <w:color w:val="000000" w:themeColor="text1"/>
          <w:lang w:val="nl-BE" w:eastAsia="nl-BE"/>
        </w:rPr>
      </w:pPr>
      <w:r w:rsidRPr="002A7162">
        <w:rPr>
          <w:color w:val="000000" w:themeColor="text1"/>
          <w:lang w:val="nl-BE" w:eastAsia="nl-BE"/>
        </w:rPr>
        <w:t xml:space="preserve">Điều 101 </w:t>
      </w:r>
      <w:r w:rsidR="005763FE" w:rsidRPr="002A7162">
        <w:rPr>
          <w:color w:val="000000" w:themeColor="text1"/>
          <w:lang w:val="nl-BE" w:eastAsia="nl-BE"/>
        </w:rPr>
        <w:t>Hiệp ước về các chức năng của Liên minh châu Âu</w:t>
      </w:r>
      <w:r w:rsidR="007A4D7B" w:rsidRPr="002A7162">
        <w:rPr>
          <w:color w:val="000000" w:themeColor="text1"/>
          <w:lang w:val="nl-BE" w:eastAsia="nl-BE"/>
        </w:rPr>
        <w:t xml:space="preserve"> (</w:t>
      </w:r>
      <w:r w:rsidR="004328B9" w:rsidRPr="002A7162">
        <w:rPr>
          <w:color w:val="000000" w:themeColor="text1"/>
          <w:lang w:val="nl-BE" w:eastAsia="nl-BE"/>
        </w:rPr>
        <w:t>Treaty on the Functioning of the European Union</w:t>
      </w:r>
      <w:r w:rsidR="00BD3900" w:rsidRPr="002A7162">
        <w:rPr>
          <w:color w:val="000000" w:themeColor="text1"/>
          <w:lang w:val="nl-BE" w:eastAsia="nl-BE"/>
        </w:rPr>
        <w:t xml:space="preserve"> - TFEU</w:t>
      </w:r>
      <w:r w:rsidR="004328B9" w:rsidRPr="002A7162">
        <w:rPr>
          <w:color w:val="000000" w:themeColor="text1"/>
          <w:lang w:val="nl-BE" w:eastAsia="nl-BE"/>
        </w:rPr>
        <w:t>)</w:t>
      </w:r>
      <w:r w:rsidR="00FA572C">
        <w:rPr>
          <w:rStyle w:val="FootnoteReference"/>
          <w:color w:val="000000" w:themeColor="text1"/>
          <w:lang w:eastAsia="nl-BE"/>
        </w:rPr>
        <w:footnoteReference w:id="44"/>
      </w:r>
      <w:r w:rsidR="005E6042" w:rsidRPr="002A7162">
        <w:rPr>
          <w:color w:val="000000" w:themeColor="text1"/>
          <w:lang w:val="nl-BE" w:eastAsia="nl-BE"/>
        </w:rPr>
        <w:t xml:space="preserve"> quy định các thỏa thuận giữa các doanh nghiệp</w:t>
      </w:r>
      <w:r w:rsidR="003318DE" w:rsidRPr="002A7162">
        <w:rPr>
          <w:color w:val="000000" w:themeColor="text1"/>
          <w:lang w:val="nl-BE" w:eastAsia="nl-BE"/>
        </w:rPr>
        <w:t xml:space="preserve"> mà làm ảnh hưởng đến thương mại giữa các quốc gia thành viên EU</w:t>
      </w:r>
      <w:r w:rsidR="00C9799C" w:rsidRPr="002A7162">
        <w:rPr>
          <w:color w:val="000000" w:themeColor="text1"/>
          <w:lang w:val="nl-BE" w:eastAsia="nl-BE"/>
        </w:rPr>
        <w:t>, làm hạn chế hoặc méo mó sự cạnh tranh trong thị trường nội khối</w:t>
      </w:r>
      <w:r w:rsidR="00282149" w:rsidRPr="002A7162">
        <w:rPr>
          <w:color w:val="000000" w:themeColor="text1"/>
          <w:lang w:val="nl-BE" w:eastAsia="nl-BE"/>
        </w:rPr>
        <w:t xml:space="preserve"> đều bị cấm. Các thỏa thuận này bao gồm ấn định giá dịch vụ hàng hóa một cách gián tiếp hoặc trực tiếp</w:t>
      </w:r>
      <w:r w:rsidR="002D13D3" w:rsidRPr="002A7162">
        <w:rPr>
          <w:color w:val="000000" w:themeColor="text1"/>
          <w:lang w:val="nl-BE" w:eastAsia="nl-BE"/>
        </w:rPr>
        <w:t xml:space="preserve">; phân chia khách hàng, phân chia nguồn cung cấp dịch vụ hàng hóa ; </w:t>
      </w:r>
      <w:r w:rsidR="00691204" w:rsidRPr="002A7162">
        <w:rPr>
          <w:color w:val="000000" w:themeColor="text1"/>
          <w:lang w:val="nl-BE" w:eastAsia="nl-BE"/>
        </w:rPr>
        <w:t>hạn chế hoặc kiểm soát khối lượng hàng hóa, đầu tư…</w:t>
      </w:r>
      <w:r w:rsidR="004065FD" w:rsidRPr="002A7162">
        <w:rPr>
          <w:color w:val="000000" w:themeColor="text1"/>
          <w:lang w:val="nl-BE" w:eastAsia="nl-BE"/>
        </w:rPr>
        <w:t xml:space="preserve"> Các thỏa thuận này mặc nhiên bị tuyên vô hiệu</w:t>
      </w:r>
      <w:r w:rsidR="00383CF2" w:rsidRPr="002A7162">
        <w:rPr>
          <w:color w:val="000000" w:themeColor="text1"/>
          <w:lang w:val="nl-BE" w:eastAsia="nl-BE"/>
        </w:rPr>
        <w:t xml:space="preserve"> (automatically void), trừ trường hợp các thỏa thuận này </w:t>
      </w:r>
      <w:r w:rsidR="00B42D56" w:rsidRPr="002A7162">
        <w:rPr>
          <w:color w:val="000000" w:themeColor="text1"/>
          <w:lang w:val="nl-BE" w:eastAsia="nl-BE"/>
        </w:rPr>
        <w:t>thúc đẩy tiến bộ kinh tế, kỹ thuật hoặc nâng cao sản lượng dịch vụ hàng hóa</w:t>
      </w:r>
      <w:r w:rsidR="00960AE0" w:rsidRPr="002A7162">
        <w:rPr>
          <w:color w:val="000000" w:themeColor="text1"/>
          <w:lang w:val="nl-BE" w:eastAsia="nl-BE"/>
        </w:rPr>
        <w:t xml:space="preserve">. </w:t>
      </w:r>
      <w:r w:rsidR="00006CD6" w:rsidRPr="002214DA">
        <w:rPr>
          <w:color w:val="000000" w:themeColor="text1"/>
          <w:lang w:val="nl-BE" w:eastAsia="nl-BE"/>
        </w:rPr>
        <w:t xml:space="preserve">Điều 102 của Hiệp ước </w:t>
      </w:r>
      <w:r w:rsidR="00BD3900" w:rsidRPr="002214DA">
        <w:rPr>
          <w:color w:val="000000" w:themeColor="text1"/>
          <w:lang w:val="nl-BE" w:eastAsia="nl-BE"/>
        </w:rPr>
        <w:t xml:space="preserve">TFEU </w:t>
      </w:r>
      <w:r w:rsidR="00006CD6" w:rsidRPr="002214DA">
        <w:rPr>
          <w:color w:val="000000" w:themeColor="text1"/>
          <w:lang w:val="nl-BE" w:eastAsia="nl-BE"/>
        </w:rPr>
        <w:t>quy định</w:t>
      </w:r>
      <w:r w:rsidR="00285016" w:rsidRPr="002214DA">
        <w:rPr>
          <w:color w:val="000000" w:themeColor="text1"/>
          <w:lang w:val="nl-BE" w:eastAsia="nl-BE"/>
        </w:rPr>
        <w:t xml:space="preserve"> về hành vi lạm dụng vị trí thống lĩnh thị </w:t>
      </w:r>
      <w:r w:rsidR="00A0795F" w:rsidRPr="002214DA">
        <w:rPr>
          <w:color w:val="000000" w:themeColor="text1"/>
          <w:lang w:val="nl-BE" w:eastAsia="nl-BE"/>
        </w:rPr>
        <w:t>t</w:t>
      </w:r>
      <w:r w:rsidR="00285016" w:rsidRPr="002214DA">
        <w:rPr>
          <w:color w:val="000000" w:themeColor="text1"/>
          <w:lang w:val="nl-BE" w:eastAsia="nl-BE"/>
        </w:rPr>
        <w:t xml:space="preserve">rường (abuse). </w:t>
      </w:r>
      <w:r w:rsidR="00A07DF8" w:rsidRPr="002214DA">
        <w:rPr>
          <w:color w:val="000000" w:themeColor="text1"/>
          <w:lang w:val="nl-BE" w:eastAsia="nl-BE"/>
        </w:rPr>
        <w:t>Luật cạnh tranh của Việt Nam số 23/2018/QH2014</w:t>
      </w:r>
      <w:r w:rsidR="00A07DF8">
        <w:rPr>
          <w:rStyle w:val="FootnoteReference"/>
          <w:color w:val="000000" w:themeColor="text1"/>
          <w:lang w:eastAsia="nl-BE"/>
        </w:rPr>
        <w:footnoteReference w:id="45"/>
      </w:r>
      <w:r w:rsidR="00A07DF8" w:rsidRPr="002214DA">
        <w:rPr>
          <w:color w:val="000000" w:themeColor="text1"/>
          <w:lang w:val="nl-BE" w:eastAsia="nl-BE"/>
        </w:rPr>
        <w:t xml:space="preserve"> cũng có những quy định tương tự.</w:t>
      </w:r>
    </w:p>
    <w:p w14:paraId="347D48BF" w14:textId="20AA6F7F" w:rsidR="00A07DF8" w:rsidRPr="002214DA" w:rsidRDefault="00283B46" w:rsidP="00FA572C">
      <w:pPr>
        <w:pStyle w:val="ListParagraph"/>
        <w:numPr>
          <w:ilvl w:val="0"/>
          <w:numId w:val="46"/>
        </w:numPr>
        <w:autoSpaceDE w:val="0"/>
        <w:autoSpaceDN w:val="0"/>
        <w:adjustRightInd w:val="0"/>
        <w:spacing w:before="240" w:after="240" w:line="360" w:lineRule="auto"/>
        <w:ind w:hanging="720"/>
        <w:contextualSpacing w:val="0"/>
        <w:rPr>
          <w:color w:val="000000" w:themeColor="text1"/>
          <w:lang w:val="nl-BE" w:eastAsia="nl-BE"/>
        </w:rPr>
      </w:pPr>
      <w:r w:rsidRPr="002214DA">
        <w:rPr>
          <w:color w:val="000000" w:themeColor="text1"/>
          <w:lang w:val="nl-BE" w:eastAsia="nl-BE"/>
        </w:rPr>
        <w:t xml:space="preserve">Liên quan đến Điều 101 và 102 của TFEU (trước là Điều 81 và 82 của </w:t>
      </w:r>
      <w:r w:rsidR="00715CC0" w:rsidRPr="002214DA">
        <w:rPr>
          <w:color w:val="000000" w:themeColor="text1"/>
          <w:lang w:val="nl-BE" w:eastAsia="nl-BE"/>
        </w:rPr>
        <w:t>Hiệp ước thành lập Cộng đồng Châu Âu Treaty</w:t>
      </w:r>
      <w:r w:rsidR="00C23A95" w:rsidRPr="002214DA">
        <w:rPr>
          <w:color w:val="000000" w:themeColor="text1"/>
          <w:lang w:val="nl-BE" w:eastAsia="nl-BE"/>
        </w:rPr>
        <w:t xml:space="preserve"> Establishing the European Community), </w:t>
      </w:r>
      <w:r w:rsidR="00AE4A60" w:rsidRPr="002214DA">
        <w:rPr>
          <w:color w:val="000000" w:themeColor="text1"/>
          <w:lang w:val="nl-BE" w:eastAsia="nl-BE"/>
        </w:rPr>
        <w:t>Hội đồng Châu Âu</w:t>
      </w:r>
      <w:r w:rsidR="00C23A95" w:rsidRPr="002214DA">
        <w:rPr>
          <w:color w:val="000000" w:themeColor="text1"/>
          <w:lang w:val="nl-BE" w:eastAsia="nl-BE"/>
        </w:rPr>
        <w:t xml:space="preserve"> đã ban hành các văn bản hướng dẫn bao gồm </w:t>
      </w:r>
      <w:r w:rsidR="00380826" w:rsidRPr="002214DA">
        <w:rPr>
          <w:color w:val="000000" w:themeColor="text1"/>
          <w:lang w:val="nl-BE" w:eastAsia="nl-BE"/>
        </w:rPr>
        <w:t>Quy định 773/2004 quy định về trình tự thủ tục tố tụng và hành chính</w:t>
      </w:r>
      <w:r w:rsidR="0036035F" w:rsidRPr="002214DA">
        <w:rPr>
          <w:color w:val="000000" w:themeColor="text1"/>
          <w:lang w:val="nl-BE" w:eastAsia="nl-BE"/>
        </w:rPr>
        <w:t xml:space="preserve"> của Ủy ban Châu Âu</w:t>
      </w:r>
      <w:r w:rsidR="00801902" w:rsidRPr="002214DA">
        <w:rPr>
          <w:color w:val="000000" w:themeColor="text1"/>
          <w:lang w:val="nl-BE" w:eastAsia="nl-BE"/>
        </w:rPr>
        <w:t xml:space="preserve"> thực hiện trong lĩnh vực quản lý cạnh tranh</w:t>
      </w:r>
      <w:r w:rsidR="0036035F">
        <w:rPr>
          <w:rStyle w:val="FootnoteReference"/>
          <w:color w:val="000000" w:themeColor="text1"/>
          <w:lang w:eastAsia="nl-BE"/>
        </w:rPr>
        <w:footnoteReference w:id="46"/>
      </w:r>
      <w:r w:rsidR="0036035F" w:rsidRPr="002214DA">
        <w:rPr>
          <w:color w:val="000000" w:themeColor="text1"/>
          <w:lang w:val="nl-BE" w:eastAsia="nl-BE"/>
        </w:rPr>
        <w:t xml:space="preserve"> và Quy định 1/2003</w:t>
      </w:r>
      <w:r w:rsidR="008B1BE5" w:rsidRPr="002214DA">
        <w:rPr>
          <w:color w:val="000000" w:themeColor="text1"/>
          <w:lang w:val="nl-BE" w:eastAsia="nl-BE"/>
        </w:rPr>
        <w:t xml:space="preserve"> quy định hướng dẫn thi hành Điều 102 và 103</w:t>
      </w:r>
      <w:r w:rsidR="00801902" w:rsidRPr="002214DA">
        <w:rPr>
          <w:color w:val="000000" w:themeColor="text1"/>
          <w:lang w:val="nl-BE" w:eastAsia="nl-BE"/>
        </w:rPr>
        <w:t xml:space="preserve"> của TFEU</w:t>
      </w:r>
      <w:r w:rsidR="008B1BE5">
        <w:rPr>
          <w:rStyle w:val="FootnoteReference"/>
          <w:color w:val="000000" w:themeColor="text1"/>
          <w:lang w:eastAsia="nl-BE"/>
        </w:rPr>
        <w:footnoteReference w:id="47"/>
      </w:r>
      <w:r w:rsidR="008B1BE5" w:rsidRPr="002214DA">
        <w:rPr>
          <w:color w:val="000000" w:themeColor="text1"/>
          <w:lang w:val="nl-BE" w:eastAsia="nl-BE"/>
        </w:rPr>
        <w:t>.</w:t>
      </w:r>
    </w:p>
    <w:p w14:paraId="2043C89C" w14:textId="5C5BAEE6" w:rsidR="008B1BE5" w:rsidRPr="002214DA" w:rsidRDefault="0065063D" w:rsidP="00FA572C">
      <w:pPr>
        <w:pStyle w:val="ListParagraph"/>
        <w:numPr>
          <w:ilvl w:val="0"/>
          <w:numId w:val="46"/>
        </w:numPr>
        <w:autoSpaceDE w:val="0"/>
        <w:autoSpaceDN w:val="0"/>
        <w:adjustRightInd w:val="0"/>
        <w:spacing w:before="240" w:after="240" w:line="360" w:lineRule="auto"/>
        <w:ind w:hanging="720"/>
        <w:contextualSpacing w:val="0"/>
        <w:rPr>
          <w:color w:val="000000" w:themeColor="text1"/>
          <w:lang w:val="nl-BE" w:eastAsia="nl-BE"/>
        </w:rPr>
      </w:pPr>
      <w:r w:rsidRPr="002214DA">
        <w:rPr>
          <w:color w:val="000000" w:themeColor="text1"/>
          <w:lang w:val="nl-BE" w:eastAsia="nl-BE"/>
        </w:rPr>
        <w:t>Tuy nhiên, đây không phải là những văn bản duy nhất. Hệ thống pháp luật về cạnh tranh của EU có thể được coi là đồ sộ và phức tạp nhất trên thế giới. Với mỗi hành vi liên quan đến cạnh tranh không lành mạnh hoặc có khả năng ảnh hưởng đến thị trường nội khối EU, EU đều ban hành quy định để điều chỉnh.</w:t>
      </w:r>
      <w:r w:rsidR="00B802F6" w:rsidRPr="002214DA">
        <w:rPr>
          <w:color w:val="000000" w:themeColor="text1"/>
          <w:lang w:val="nl-BE" w:eastAsia="nl-BE"/>
        </w:rPr>
        <w:t xml:space="preserve"> Điều này khác biệt so với Việt Nam</w:t>
      </w:r>
      <w:r w:rsidR="006E3455" w:rsidRPr="002214DA">
        <w:rPr>
          <w:color w:val="000000" w:themeColor="text1"/>
          <w:lang w:val="nl-BE" w:eastAsia="nl-BE"/>
        </w:rPr>
        <w:t xml:space="preserve"> khi tất cả các vấn đề về cạnh tranh chỉ </w:t>
      </w:r>
      <w:r w:rsidR="002D583B" w:rsidRPr="002214DA">
        <w:rPr>
          <w:color w:val="000000" w:themeColor="text1"/>
          <w:lang w:val="nl-BE" w:eastAsia="nl-BE"/>
        </w:rPr>
        <w:t xml:space="preserve">chủ yếu </w:t>
      </w:r>
      <w:r w:rsidR="006E3455" w:rsidRPr="002214DA">
        <w:rPr>
          <w:color w:val="000000" w:themeColor="text1"/>
          <w:lang w:val="nl-BE" w:eastAsia="nl-BE"/>
        </w:rPr>
        <w:t>được quy định tại Luật cạnh tranh của Việt Nam số 23/2018/QH2014</w:t>
      </w:r>
      <w:r w:rsidR="00E0192B" w:rsidRPr="002214DA">
        <w:rPr>
          <w:color w:val="000000" w:themeColor="text1"/>
          <w:lang w:val="nl-BE" w:eastAsia="nl-BE"/>
        </w:rPr>
        <w:t xml:space="preserve"> (và Nghị định 35/2020/NĐ-CP hướng dẫn thi hành</w:t>
      </w:r>
      <w:r w:rsidR="007E268F">
        <w:rPr>
          <w:rStyle w:val="FootnoteReference"/>
          <w:color w:val="000000" w:themeColor="text1"/>
          <w:lang w:eastAsia="nl-BE"/>
        </w:rPr>
        <w:footnoteReference w:id="48"/>
      </w:r>
      <w:r w:rsidR="002D7D77" w:rsidRPr="002214DA">
        <w:rPr>
          <w:color w:val="000000" w:themeColor="text1"/>
          <w:lang w:val="nl-BE" w:eastAsia="nl-BE"/>
        </w:rPr>
        <w:t xml:space="preserve"> và Nghị định 7</w:t>
      </w:r>
      <w:r w:rsidR="00C26738" w:rsidRPr="002214DA">
        <w:rPr>
          <w:color w:val="000000" w:themeColor="text1"/>
          <w:lang w:val="nl-BE" w:eastAsia="nl-BE"/>
        </w:rPr>
        <w:t>5</w:t>
      </w:r>
      <w:r w:rsidR="002D7D77" w:rsidRPr="002214DA">
        <w:rPr>
          <w:color w:val="000000" w:themeColor="text1"/>
          <w:lang w:val="nl-BE" w:eastAsia="nl-BE"/>
        </w:rPr>
        <w:t>/201</w:t>
      </w:r>
      <w:r w:rsidR="00C26738" w:rsidRPr="002214DA">
        <w:rPr>
          <w:color w:val="000000" w:themeColor="text1"/>
          <w:lang w:val="nl-BE" w:eastAsia="nl-BE"/>
        </w:rPr>
        <w:t>9</w:t>
      </w:r>
      <w:r w:rsidR="002D7D77" w:rsidRPr="002214DA">
        <w:rPr>
          <w:color w:val="000000" w:themeColor="text1"/>
          <w:lang w:val="nl-BE" w:eastAsia="nl-BE"/>
        </w:rPr>
        <w:t>/NĐ-CP xử phạt vi phạm hành chính trong lĩnh vực cạnh tranh</w:t>
      </w:r>
      <w:r w:rsidR="007E268F">
        <w:rPr>
          <w:rStyle w:val="FootnoteReference"/>
          <w:color w:val="000000" w:themeColor="text1"/>
          <w:lang w:eastAsia="nl-BE"/>
        </w:rPr>
        <w:footnoteReference w:id="49"/>
      </w:r>
      <w:r w:rsidR="000A6EB6" w:rsidRPr="002214DA">
        <w:rPr>
          <w:color w:val="000000" w:themeColor="text1"/>
          <w:lang w:val="nl-BE" w:eastAsia="nl-BE"/>
        </w:rPr>
        <w:t>…</w:t>
      </w:r>
      <w:r w:rsidR="00E0192B" w:rsidRPr="002214DA">
        <w:rPr>
          <w:color w:val="000000" w:themeColor="text1"/>
          <w:lang w:val="nl-BE" w:eastAsia="nl-BE"/>
        </w:rPr>
        <w:t>)</w:t>
      </w:r>
      <w:r w:rsidR="006E3455" w:rsidRPr="002214DA">
        <w:rPr>
          <w:color w:val="000000" w:themeColor="text1"/>
          <w:lang w:val="nl-BE" w:eastAsia="nl-BE"/>
        </w:rPr>
        <w:t xml:space="preserve">. </w:t>
      </w:r>
      <w:r w:rsidR="00252805" w:rsidRPr="002214DA">
        <w:rPr>
          <w:color w:val="000000" w:themeColor="text1"/>
          <w:lang w:val="nl-BE" w:eastAsia="nl-BE"/>
        </w:rPr>
        <w:t>Song, thực tế này là dễ hiểu khi Việt Nam không có quá nhiều doanh nghiệp nào đủ lớn để có thể bắt tay với nhau để vi phạm cạnh tranh</w:t>
      </w:r>
      <w:r w:rsidR="005D3FF2" w:rsidRPr="002214DA">
        <w:rPr>
          <w:color w:val="000000" w:themeColor="text1"/>
          <w:lang w:val="nl-BE" w:eastAsia="nl-BE"/>
        </w:rPr>
        <w:t xml:space="preserve">; trong khi số lượng này ở EU là vô cùng lớn. </w:t>
      </w:r>
    </w:p>
    <w:p w14:paraId="2D4FC7FB" w14:textId="6FFBE734" w:rsidR="0065063D" w:rsidRPr="002214DA" w:rsidRDefault="00CC6ABA" w:rsidP="00FA572C">
      <w:pPr>
        <w:pStyle w:val="ListParagraph"/>
        <w:numPr>
          <w:ilvl w:val="0"/>
          <w:numId w:val="46"/>
        </w:numPr>
        <w:autoSpaceDE w:val="0"/>
        <w:autoSpaceDN w:val="0"/>
        <w:adjustRightInd w:val="0"/>
        <w:spacing w:before="240" w:after="240" w:line="360" w:lineRule="auto"/>
        <w:ind w:hanging="720"/>
        <w:contextualSpacing w:val="0"/>
        <w:rPr>
          <w:color w:val="000000" w:themeColor="text1"/>
          <w:lang w:val="nl-BE" w:eastAsia="nl-BE"/>
        </w:rPr>
      </w:pPr>
      <w:r w:rsidRPr="002214DA">
        <w:rPr>
          <w:color w:val="000000" w:themeColor="text1"/>
          <w:lang w:val="nl-BE" w:eastAsia="nl-BE"/>
        </w:rPr>
        <w:t xml:space="preserve">Quy định về </w:t>
      </w:r>
      <w:r w:rsidR="00801902" w:rsidRPr="002214DA">
        <w:rPr>
          <w:color w:val="000000" w:themeColor="text1"/>
          <w:lang w:val="nl-BE" w:eastAsia="nl-BE"/>
        </w:rPr>
        <w:t xml:space="preserve">thị trường liên quan (Relevant Market): </w:t>
      </w:r>
      <w:r w:rsidR="00F43DA8" w:rsidRPr="002214DA">
        <w:rPr>
          <w:color w:val="000000" w:themeColor="text1"/>
          <w:lang w:val="nl-BE" w:eastAsia="nl-BE"/>
        </w:rPr>
        <w:t xml:space="preserve">Thông báo </w:t>
      </w:r>
      <w:r w:rsidR="000E7F17" w:rsidRPr="002214DA">
        <w:rPr>
          <w:color w:val="000000" w:themeColor="text1"/>
          <w:lang w:val="nl-BE" w:eastAsia="nl-BE"/>
        </w:rPr>
        <w:t xml:space="preserve">(Notice) </w:t>
      </w:r>
      <w:r w:rsidR="00F43DA8" w:rsidRPr="002214DA">
        <w:rPr>
          <w:color w:val="000000" w:themeColor="text1"/>
          <w:lang w:val="nl-BE" w:eastAsia="nl-BE"/>
        </w:rPr>
        <w:t>của Ủy ban Châu Âu số 97/C 372/03</w:t>
      </w:r>
      <w:r w:rsidR="00564AD3">
        <w:rPr>
          <w:rStyle w:val="FootnoteReference"/>
          <w:color w:val="000000" w:themeColor="text1"/>
          <w:lang w:eastAsia="nl-BE"/>
        </w:rPr>
        <w:footnoteReference w:id="50"/>
      </w:r>
      <w:r w:rsidR="00C26303" w:rsidRPr="002214DA">
        <w:rPr>
          <w:color w:val="000000" w:themeColor="text1"/>
          <w:lang w:val="nl-BE" w:eastAsia="nl-BE"/>
        </w:rPr>
        <w:t>.</w:t>
      </w:r>
      <w:r w:rsidR="00F95B76" w:rsidRPr="002214DA">
        <w:rPr>
          <w:color w:val="000000" w:themeColor="text1"/>
          <w:lang w:val="nl-BE" w:eastAsia="nl-BE"/>
        </w:rPr>
        <w:t xml:space="preserve"> Thông báo này quy định thế nào là thị trường liên quan, bao gồm thị phần theo sản phẩm và thị phần theo</w:t>
      </w:r>
      <w:r w:rsidR="00197A15" w:rsidRPr="002214DA">
        <w:rPr>
          <w:color w:val="000000" w:themeColor="text1"/>
          <w:lang w:val="nl-BE" w:eastAsia="nl-BE"/>
        </w:rPr>
        <w:t xml:space="preserve"> khu vực địa lý; cách tính </w:t>
      </w:r>
      <w:r w:rsidR="00E61363" w:rsidRPr="002214DA">
        <w:rPr>
          <w:color w:val="000000" w:themeColor="text1"/>
          <w:lang w:val="nl-BE" w:eastAsia="nl-BE"/>
        </w:rPr>
        <w:t>thị phần trên thị trường (Market share)…</w:t>
      </w:r>
    </w:p>
    <w:p w14:paraId="0ABE8C02" w14:textId="20E7D539" w:rsidR="00E61363" w:rsidRPr="002214DA" w:rsidRDefault="004537FF" w:rsidP="00FA572C">
      <w:pPr>
        <w:pStyle w:val="ListParagraph"/>
        <w:numPr>
          <w:ilvl w:val="0"/>
          <w:numId w:val="46"/>
        </w:numPr>
        <w:autoSpaceDE w:val="0"/>
        <w:autoSpaceDN w:val="0"/>
        <w:adjustRightInd w:val="0"/>
        <w:spacing w:before="240" w:after="240" w:line="360" w:lineRule="auto"/>
        <w:ind w:hanging="720"/>
        <w:contextualSpacing w:val="0"/>
        <w:rPr>
          <w:color w:val="000000" w:themeColor="text1"/>
          <w:lang w:val="nl-BE" w:eastAsia="nl-BE"/>
        </w:rPr>
      </w:pPr>
      <w:r w:rsidRPr="002214DA">
        <w:rPr>
          <w:color w:val="000000" w:themeColor="text1"/>
          <w:lang w:val="nl-BE" w:eastAsia="nl-BE"/>
        </w:rPr>
        <w:t>Quy định về các thỏa thuận cạnh tranh</w:t>
      </w:r>
      <w:r w:rsidR="00F26ADE" w:rsidRPr="002214DA">
        <w:rPr>
          <w:color w:val="000000" w:themeColor="text1"/>
          <w:lang w:val="nl-BE" w:eastAsia="nl-BE"/>
        </w:rPr>
        <w:t xml:space="preserve"> theo chiều ngang</w:t>
      </w:r>
      <w:r w:rsidR="00510F96" w:rsidRPr="002214DA">
        <w:rPr>
          <w:color w:val="000000" w:themeColor="text1"/>
          <w:lang w:val="nl-BE" w:eastAsia="nl-BE"/>
        </w:rPr>
        <w:t xml:space="preserve"> (Horizontal Agreement)</w:t>
      </w:r>
      <w:r w:rsidR="0002790E" w:rsidRPr="002214DA">
        <w:rPr>
          <w:color w:val="000000" w:themeColor="text1"/>
          <w:lang w:val="nl-BE" w:eastAsia="nl-BE"/>
        </w:rPr>
        <w:t xml:space="preserve">: Hướng dẫn </w:t>
      </w:r>
      <w:r w:rsidR="00FC43C7" w:rsidRPr="002214DA">
        <w:rPr>
          <w:color w:val="000000" w:themeColor="text1"/>
          <w:lang w:val="nl-BE" w:eastAsia="nl-BE"/>
        </w:rPr>
        <w:t xml:space="preserve">(Guidelines) </w:t>
      </w:r>
      <w:r w:rsidR="00D92BAC" w:rsidRPr="002214DA">
        <w:rPr>
          <w:color w:val="000000" w:themeColor="text1"/>
          <w:lang w:val="nl-BE" w:eastAsia="nl-BE"/>
        </w:rPr>
        <w:t>số 2011/C 11/01 của Ủy ban Châu Âu</w:t>
      </w:r>
      <w:r w:rsidR="00D92BAC">
        <w:rPr>
          <w:rStyle w:val="FootnoteReference"/>
          <w:color w:val="000000" w:themeColor="text1"/>
          <w:lang w:eastAsia="nl-BE"/>
        </w:rPr>
        <w:footnoteReference w:id="51"/>
      </w:r>
      <w:r w:rsidR="00035DA9" w:rsidRPr="002214DA">
        <w:rPr>
          <w:color w:val="000000" w:themeColor="text1"/>
          <w:lang w:val="nl-BE" w:eastAsia="nl-BE"/>
        </w:rPr>
        <w:t>. Thỏa thuận cạnh tranh theo chiều ngang xảy ra giữa các doanh nghiệp kinh doanh cùng ngành hàng</w:t>
      </w:r>
      <w:r w:rsidR="001B05AE" w:rsidRPr="002214DA">
        <w:rPr>
          <w:color w:val="000000" w:themeColor="text1"/>
          <w:lang w:val="nl-BE" w:eastAsia="nl-BE"/>
        </w:rPr>
        <w:t xml:space="preserve">. </w:t>
      </w:r>
      <w:r w:rsidR="00631EFA" w:rsidRPr="002214DA">
        <w:rPr>
          <w:color w:val="000000" w:themeColor="text1"/>
          <w:lang w:val="nl-BE" w:eastAsia="nl-BE"/>
        </w:rPr>
        <w:t>Các thỏa thuận vi phạm vào Hướng dẫn này đều bị coi là hành vi cạnh tranh không lành mạnh.</w:t>
      </w:r>
    </w:p>
    <w:p w14:paraId="277CD9D7" w14:textId="0D72A0E8" w:rsidR="00E62D25" w:rsidRPr="002214DA" w:rsidRDefault="00071148" w:rsidP="00FA572C">
      <w:pPr>
        <w:pStyle w:val="ListParagraph"/>
        <w:numPr>
          <w:ilvl w:val="0"/>
          <w:numId w:val="46"/>
        </w:numPr>
        <w:autoSpaceDE w:val="0"/>
        <w:autoSpaceDN w:val="0"/>
        <w:adjustRightInd w:val="0"/>
        <w:spacing w:before="240" w:after="240" w:line="360" w:lineRule="auto"/>
        <w:ind w:hanging="720"/>
        <w:contextualSpacing w:val="0"/>
        <w:rPr>
          <w:color w:val="000000" w:themeColor="text1"/>
          <w:lang w:val="nl-BE" w:eastAsia="nl-BE"/>
        </w:rPr>
      </w:pPr>
      <w:r w:rsidRPr="002214DA">
        <w:rPr>
          <w:color w:val="000000" w:themeColor="text1"/>
          <w:lang w:val="nl-BE" w:eastAsia="nl-BE"/>
        </w:rPr>
        <w:t>Quy</w:t>
      </w:r>
      <w:r w:rsidR="00E312E1" w:rsidRPr="002214DA">
        <w:rPr>
          <w:color w:val="000000" w:themeColor="text1"/>
          <w:lang w:val="nl-BE" w:eastAsia="nl-BE"/>
        </w:rPr>
        <w:t xml:space="preserve"> định về các thỏa thuận cạnh tranh theo chiều dọc (Vertical Agreement): Hướng dẫn </w:t>
      </w:r>
      <w:r w:rsidR="000E7F17" w:rsidRPr="002214DA">
        <w:rPr>
          <w:color w:val="000000" w:themeColor="text1"/>
          <w:lang w:val="nl-BE" w:eastAsia="nl-BE"/>
        </w:rPr>
        <w:t xml:space="preserve">(Guidelines) </w:t>
      </w:r>
      <w:r w:rsidR="00E312E1" w:rsidRPr="002214DA">
        <w:rPr>
          <w:color w:val="000000" w:themeColor="text1"/>
          <w:lang w:val="nl-BE" w:eastAsia="nl-BE"/>
        </w:rPr>
        <w:t>số 201</w:t>
      </w:r>
      <w:r w:rsidR="00FC43C7" w:rsidRPr="002214DA">
        <w:rPr>
          <w:color w:val="000000" w:themeColor="text1"/>
          <w:lang w:val="nl-BE" w:eastAsia="nl-BE"/>
        </w:rPr>
        <w:t>0</w:t>
      </w:r>
      <w:r w:rsidR="00E312E1" w:rsidRPr="002214DA">
        <w:rPr>
          <w:color w:val="000000" w:themeColor="text1"/>
          <w:lang w:val="nl-BE" w:eastAsia="nl-BE"/>
        </w:rPr>
        <w:t xml:space="preserve">/C </w:t>
      </w:r>
      <w:r w:rsidR="00FC43C7" w:rsidRPr="002214DA">
        <w:rPr>
          <w:color w:val="000000" w:themeColor="text1"/>
          <w:lang w:val="nl-BE" w:eastAsia="nl-BE"/>
        </w:rPr>
        <w:t>130</w:t>
      </w:r>
      <w:r w:rsidR="00E312E1" w:rsidRPr="002214DA">
        <w:rPr>
          <w:color w:val="000000" w:themeColor="text1"/>
          <w:lang w:val="nl-BE" w:eastAsia="nl-BE"/>
        </w:rPr>
        <w:t>/01</w:t>
      </w:r>
      <w:r w:rsidR="000E7F17" w:rsidRPr="002214DA">
        <w:rPr>
          <w:color w:val="000000" w:themeColor="text1"/>
          <w:lang w:val="nl-BE" w:eastAsia="nl-BE"/>
        </w:rPr>
        <w:t xml:space="preserve"> </w:t>
      </w:r>
      <w:r w:rsidR="00E312E1" w:rsidRPr="002214DA">
        <w:rPr>
          <w:color w:val="000000" w:themeColor="text1"/>
          <w:lang w:val="nl-BE" w:eastAsia="nl-BE"/>
        </w:rPr>
        <w:t>của Ủy ban Châu Âu</w:t>
      </w:r>
      <w:r w:rsidR="00E312E1">
        <w:rPr>
          <w:rStyle w:val="FootnoteReference"/>
          <w:color w:val="000000" w:themeColor="text1"/>
          <w:lang w:eastAsia="nl-BE"/>
        </w:rPr>
        <w:footnoteReference w:id="52"/>
      </w:r>
      <w:r w:rsidR="00E312E1" w:rsidRPr="002214DA">
        <w:rPr>
          <w:color w:val="000000" w:themeColor="text1"/>
          <w:lang w:val="nl-BE" w:eastAsia="nl-BE"/>
        </w:rPr>
        <w:t xml:space="preserve">. Thỏa thuận cạnh tranh theo chiều </w:t>
      </w:r>
      <w:r w:rsidR="00FC43C7" w:rsidRPr="002214DA">
        <w:rPr>
          <w:color w:val="000000" w:themeColor="text1"/>
          <w:lang w:val="nl-BE" w:eastAsia="nl-BE"/>
        </w:rPr>
        <w:t>dọc</w:t>
      </w:r>
      <w:r w:rsidR="00E312E1" w:rsidRPr="002214DA">
        <w:rPr>
          <w:color w:val="000000" w:themeColor="text1"/>
          <w:lang w:val="nl-BE" w:eastAsia="nl-BE"/>
        </w:rPr>
        <w:t xml:space="preserve"> xảy ra giữa các doanh nghiệp </w:t>
      </w:r>
      <w:r w:rsidR="00AA34E0" w:rsidRPr="002214DA">
        <w:rPr>
          <w:color w:val="000000" w:themeColor="text1"/>
          <w:lang w:val="nl-BE" w:eastAsia="nl-BE"/>
        </w:rPr>
        <w:t>kinh doanh ở các giai đoạn khác nhau trong quá trình sản xuất phân phối hàng hóa dịch vụ</w:t>
      </w:r>
      <w:r w:rsidR="00E312E1" w:rsidRPr="002214DA">
        <w:rPr>
          <w:color w:val="000000" w:themeColor="text1"/>
          <w:lang w:val="nl-BE" w:eastAsia="nl-BE"/>
        </w:rPr>
        <w:t>. Các thỏa thuận vi phạm vào Hướng dẫn này đều bị coi là hành vi cạnh tranh không lành mạnh.</w:t>
      </w:r>
      <w:r w:rsidR="004F2C5F" w:rsidRPr="002214DA">
        <w:rPr>
          <w:color w:val="000000" w:themeColor="text1"/>
          <w:lang w:val="nl-BE" w:eastAsia="nl-BE"/>
        </w:rPr>
        <w:t xml:space="preserve"> Tuy nhiên, </w:t>
      </w:r>
      <w:r w:rsidR="00830BBC" w:rsidRPr="002214DA">
        <w:rPr>
          <w:color w:val="000000" w:themeColor="text1"/>
          <w:lang w:val="nl-BE" w:eastAsia="nl-BE"/>
        </w:rPr>
        <w:t xml:space="preserve">một số thỏa thuận sẽ không bị coi là vi phạm quy định này nếu như đáp ứng các điều kiện </w:t>
      </w:r>
      <w:r w:rsidR="00CC79F1" w:rsidRPr="002214DA">
        <w:rPr>
          <w:color w:val="000000" w:themeColor="text1"/>
          <w:lang w:val="nl-BE" w:eastAsia="nl-BE"/>
        </w:rPr>
        <w:t xml:space="preserve">loại trừ (Block exemption) tại </w:t>
      </w:r>
      <w:r w:rsidR="000E7F17" w:rsidRPr="002214DA">
        <w:rPr>
          <w:color w:val="000000" w:themeColor="text1"/>
          <w:lang w:val="nl-BE" w:eastAsia="nl-BE"/>
        </w:rPr>
        <w:t>Quy định (Regulation) của Ủy ban Châu Âu số 330/2010</w:t>
      </w:r>
      <w:r w:rsidR="000E7F17">
        <w:rPr>
          <w:rStyle w:val="FootnoteReference"/>
          <w:color w:val="000000" w:themeColor="text1"/>
          <w:lang w:eastAsia="nl-BE"/>
        </w:rPr>
        <w:footnoteReference w:id="53"/>
      </w:r>
      <w:r w:rsidR="000E7F17" w:rsidRPr="002214DA">
        <w:rPr>
          <w:color w:val="000000" w:themeColor="text1"/>
          <w:lang w:val="nl-BE" w:eastAsia="nl-BE"/>
        </w:rPr>
        <w:t xml:space="preserve"> (gọi tắt và Vertical Block Exemption Regulation).</w:t>
      </w:r>
    </w:p>
    <w:p w14:paraId="0193ABC4" w14:textId="363E15A8" w:rsidR="00AA22E9" w:rsidRPr="002214DA" w:rsidRDefault="00615AF7" w:rsidP="00FA572C">
      <w:pPr>
        <w:pStyle w:val="ListParagraph"/>
        <w:numPr>
          <w:ilvl w:val="0"/>
          <w:numId w:val="46"/>
        </w:numPr>
        <w:autoSpaceDE w:val="0"/>
        <w:autoSpaceDN w:val="0"/>
        <w:adjustRightInd w:val="0"/>
        <w:spacing w:before="240" w:after="240" w:line="360" w:lineRule="auto"/>
        <w:ind w:hanging="720"/>
        <w:contextualSpacing w:val="0"/>
        <w:rPr>
          <w:color w:val="000000" w:themeColor="text1"/>
          <w:lang w:val="nl-BE" w:eastAsia="nl-BE"/>
        </w:rPr>
      </w:pPr>
      <w:r w:rsidRPr="002214DA">
        <w:rPr>
          <w:color w:val="000000" w:themeColor="text1"/>
          <w:lang w:val="nl-BE" w:eastAsia="nl-BE"/>
        </w:rPr>
        <w:t>Quy định riêng trong lĩnh vực chuyển giao công nghệ (</w:t>
      </w:r>
      <w:r w:rsidR="00063AB1" w:rsidRPr="002214DA">
        <w:rPr>
          <w:color w:val="000000" w:themeColor="text1"/>
          <w:lang w:val="nl-BE" w:eastAsia="nl-BE"/>
        </w:rPr>
        <w:t>Technology transfer</w:t>
      </w:r>
      <w:r w:rsidRPr="002214DA">
        <w:rPr>
          <w:color w:val="000000" w:themeColor="text1"/>
          <w:lang w:val="nl-BE" w:eastAsia="nl-BE"/>
        </w:rPr>
        <w:t>)</w:t>
      </w:r>
      <w:r w:rsidR="00411BEE" w:rsidRPr="002214DA">
        <w:rPr>
          <w:color w:val="000000" w:themeColor="text1"/>
          <w:lang w:val="nl-BE" w:eastAsia="nl-BE"/>
        </w:rPr>
        <w:t xml:space="preserve">: </w:t>
      </w:r>
      <w:r w:rsidR="004E07E7" w:rsidRPr="002214DA">
        <w:rPr>
          <w:color w:val="000000" w:themeColor="text1"/>
          <w:lang w:val="nl-BE" w:eastAsia="nl-BE"/>
        </w:rPr>
        <w:t>Hướng dẫn (Guidelines) số 2014/C 89/03 của Ủy ban Châu Âu</w:t>
      </w:r>
      <w:r w:rsidR="004E07E7">
        <w:rPr>
          <w:rStyle w:val="FootnoteReference"/>
          <w:color w:val="000000" w:themeColor="text1"/>
          <w:lang w:eastAsia="nl-BE"/>
        </w:rPr>
        <w:footnoteReference w:id="54"/>
      </w:r>
      <w:r w:rsidR="004E07E7" w:rsidRPr="002214DA">
        <w:rPr>
          <w:color w:val="000000" w:themeColor="text1"/>
          <w:lang w:val="nl-BE" w:eastAsia="nl-BE"/>
        </w:rPr>
        <w:t>.</w:t>
      </w:r>
      <w:r w:rsidR="0082009F" w:rsidRPr="002214DA">
        <w:rPr>
          <w:color w:val="000000" w:themeColor="text1"/>
          <w:lang w:val="nl-BE" w:eastAsia="nl-BE"/>
        </w:rPr>
        <w:t xml:space="preserve"> </w:t>
      </w:r>
      <w:r w:rsidR="00CA7D20" w:rsidRPr="002214DA">
        <w:rPr>
          <w:color w:val="000000" w:themeColor="text1"/>
          <w:lang w:val="nl-BE" w:eastAsia="nl-BE"/>
        </w:rPr>
        <w:t xml:space="preserve">Tuy nhiên, một số thỏa thuận sẽ không bị coi là vi phạm quy định này nếu như đáp ứng các điều kiện loại trừ (Block exemption) tại </w:t>
      </w:r>
      <w:r w:rsidR="0082009F" w:rsidRPr="002214DA">
        <w:rPr>
          <w:color w:val="000000" w:themeColor="text1"/>
          <w:lang w:val="nl-BE" w:eastAsia="nl-BE"/>
        </w:rPr>
        <w:t>Quy định (Regulation) của Ủy ban Châu Âu số 316/2014</w:t>
      </w:r>
      <w:r w:rsidR="0082009F">
        <w:rPr>
          <w:rStyle w:val="FootnoteReference"/>
          <w:color w:val="000000" w:themeColor="text1"/>
          <w:lang w:eastAsia="nl-BE"/>
        </w:rPr>
        <w:footnoteReference w:id="55"/>
      </w:r>
      <w:r w:rsidR="00CA7D20" w:rsidRPr="002214DA">
        <w:rPr>
          <w:color w:val="000000" w:themeColor="text1"/>
          <w:lang w:val="nl-BE" w:eastAsia="nl-BE"/>
        </w:rPr>
        <w:t xml:space="preserve"> (gọi tắt là Technology Transfer Block Exemption Regulation).</w:t>
      </w:r>
    </w:p>
    <w:p w14:paraId="570E04EF" w14:textId="49DF5260" w:rsidR="00542A27" w:rsidRPr="002A7162" w:rsidRDefault="009D067F" w:rsidP="00FA572C">
      <w:pPr>
        <w:pStyle w:val="ListParagraph"/>
        <w:numPr>
          <w:ilvl w:val="0"/>
          <w:numId w:val="46"/>
        </w:numPr>
        <w:autoSpaceDE w:val="0"/>
        <w:autoSpaceDN w:val="0"/>
        <w:adjustRightInd w:val="0"/>
        <w:spacing w:before="240" w:after="240" w:line="360" w:lineRule="auto"/>
        <w:ind w:hanging="720"/>
        <w:contextualSpacing w:val="0"/>
        <w:rPr>
          <w:color w:val="000000" w:themeColor="text1"/>
          <w:lang w:val="en-US" w:eastAsia="nl-BE"/>
        </w:rPr>
      </w:pPr>
      <w:r w:rsidRPr="002A7162">
        <w:rPr>
          <w:color w:val="000000" w:themeColor="text1"/>
          <w:lang w:val="en-US" w:eastAsia="nl-BE"/>
        </w:rPr>
        <w:t>Quy định riêng trong lĩnh vực nghiên cứu và phát triển (Research and Development)</w:t>
      </w:r>
      <w:r w:rsidR="0074106B" w:rsidRPr="002A7162">
        <w:rPr>
          <w:color w:val="000000" w:themeColor="text1"/>
          <w:lang w:val="en-US" w:eastAsia="nl-BE"/>
        </w:rPr>
        <w:t xml:space="preserve">. </w:t>
      </w:r>
      <w:r w:rsidR="0068399F" w:rsidRPr="002A7162">
        <w:rPr>
          <w:color w:val="000000" w:themeColor="text1"/>
          <w:lang w:val="en-US" w:eastAsia="nl-BE"/>
        </w:rPr>
        <w:t xml:space="preserve">Đây là một dạng của thỏa thuận cạnh tranh </w:t>
      </w:r>
      <w:proofErr w:type="gramStart"/>
      <w:r w:rsidR="0068399F" w:rsidRPr="002A7162">
        <w:rPr>
          <w:color w:val="000000" w:themeColor="text1"/>
          <w:lang w:val="en-US" w:eastAsia="nl-BE"/>
        </w:rPr>
        <w:t>theo</w:t>
      </w:r>
      <w:proofErr w:type="gramEnd"/>
      <w:r w:rsidR="0068399F" w:rsidRPr="002A7162">
        <w:rPr>
          <w:color w:val="000000" w:themeColor="text1"/>
          <w:lang w:val="en-US" w:eastAsia="nl-BE"/>
        </w:rPr>
        <w:t xml:space="preserve"> chiều ngang (Horizontal Agreement)</w:t>
      </w:r>
      <w:r w:rsidR="0063689A" w:rsidRPr="002A7162">
        <w:rPr>
          <w:color w:val="000000" w:themeColor="text1"/>
          <w:lang w:val="en-US" w:eastAsia="nl-BE"/>
        </w:rPr>
        <w:t xml:space="preserve">. </w:t>
      </w:r>
      <w:r w:rsidR="008D03F4" w:rsidRPr="002A7162">
        <w:rPr>
          <w:color w:val="000000" w:themeColor="text1"/>
          <w:lang w:val="en-US" w:eastAsia="nl-BE"/>
        </w:rPr>
        <w:t>Tương tự, một số thỏa thuận sẽ không bị coi là vi phạm quy định này nếu như đáp ứng các điều kiện loại trừ (Block exemption) tại Quy định (Regulation) của Ủy ban Châu Âu số 1217/2010</w:t>
      </w:r>
      <w:r w:rsidR="008D03F4">
        <w:rPr>
          <w:rStyle w:val="FootnoteReference"/>
          <w:color w:val="000000" w:themeColor="text1"/>
          <w:lang w:eastAsia="nl-BE"/>
        </w:rPr>
        <w:footnoteReference w:id="56"/>
      </w:r>
      <w:r w:rsidR="008D03F4" w:rsidRPr="002A7162">
        <w:rPr>
          <w:color w:val="000000" w:themeColor="text1"/>
          <w:lang w:val="en-US" w:eastAsia="nl-BE"/>
        </w:rPr>
        <w:t xml:space="preserve"> (gọi tắt và R&amp;D Block Exemption Regulation).</w:t>
      </w:r>
    </w:p>
    <w:p w14:paraId="17680990" w14:textId="604E573F" w:rsidR="00D36ACF" w:rsidRPr="002A7162" w:rsidRDefault="000C3367" w:rsidP="00FA572C">
      <w:pPr>
        <w:pStyle w:val="ListParagraph"/>
        <w:numPr>
          <w:ilvl w:val="0"/>
          <w:numId w:val="46"/>
        </w:numPr>
        <w:autoSpaceDE w:val="0"/>
        <w:autoSpaceDN w:val="0"/>
        <w:adjustRightInd w:val="0"/>
        <w:spacing w:before="240" w:after="240" w:line="360" w:lineRule="auto"/>
        <w:ind w:hanging="720"/>
        <w:contextualSpacing w:val="0"/>
        <w:rPr>
          <w:color w:val="000000" w:themeColor="text1"/>
          <w:lang w:val="en-US" w:eastAsia="nl-BE"/>
        </w:rPr>
      </w:pPr>
      <w:r w:rsidRPr="002A7162">
        <w:rPr>
          <w:color w:val="000000" w:themeColor="text1"/>
          <w:lang w:val="en-US" w:eastAsia="nl-BE"/>
        </w:rPr>
        <w:t xml:space="preserve">Quy định </w:t>
      </w:r>
      <w:r w:rsidR="00B94728" w:rsidRPr="002A7162">
        <w:rPr>
          <w:color w:val="000000" w:themeColor="text1"/>
          <w:lang w:val="en-US" w:eastAsia="nl-BE"/>
        </w:rPr>
        <w:t xml:space="preserve">loại trừ </w:t>
      </w:r>
      <w:proofErr w:type="gramStart"/>
      <w:r w:rsidRPr="002A7162">
        <w:rPr>
          <w:color w:val="000000" w:themeColor="text1"/>
          <w:lang w:val="en-US" w:eastAsia="nl-BE"/>
        </w:rPr>
        <w:t>chung</w:t>
      </w:r>
      <w:proofErr w:type="gramEnd"/>
      <w:r w:rsidRPr="002A7162">
        <w:rPr>
          <w:color w:val="000000" w:themeColor="text1"/>
          <w:lang w:val="en-US" w:eastAsia="nl-BE"/>
        </w:rPr>
        <w:t xml:space="preserve"> về các loại</w:t>
      </w:r>
      <w:r w:rsidR="00E64320" w:rsidRPr="002A7162">
        <w:rPr>
          <w:color w:val="000000" w:themeColor="text1"/>
          <w:lang w:val="en-US" w:eastAsia="nl-BE"/>
        </w:rPr>
        <w:t xml:space="preserve"> thỏa thuận và lĩnh vực khác tại </w:t>
      </w:r>
      <w:r w:rsidR="00B94728" w:rsidRPr="002A7162">
        <w:rPr>
          <w:color w:val="000000" w:themeColor="text1"/>
          <w:lang w:val="en-US" w:eastAsia="nl-BE"/>
        </w:rPr>
        <w:t>Quy định (Regulation) của Ủy ban Châu Âu số 1218/2010</w:t>
      </w:r>
      <w:r w:rsidR="00B94728">
        <w:rPr>
          <w:rStyle w:val="FootnoteReference"/>
          <w:color w:val="000000" w:themeColor="text1"/>
          <w:lang w:eastAsia="nl-BE"/>
        </w:rPr>
        <w:footnoteReference w:id="57"/>
      </w:r>
      <w:r w:rsidR="00B94728" w:rsidRPr="002A7162">
        <w:rPr>
          <w:color w:val="000000" w:themeColor="text1"/>
          <w:lang w:val="en-US" w:eastAsia="nl-BE"/>
        </w:rPr>
        <w:t xml:space="preserve"> (gọi tắt và </w:t>
      </w:r>
      <w:r w:rsidR="006C5BBC" w:rsidRPr="002A7162">
        <w:rPr>
          <w:color w:val="000000" w:themeColor="text1"/>
          <w:lang w:val="en-US" w:eastAsia="nl-BE"/>
        </w:rPr>
        <w:t>Specialization</w:t>
      </w:r>
      <w:r w:rsidR="00B94728" w:rsidRPr="002A7162">
        <w:rPr>
          <w:color w:val="000000" w:themeColor="text1"/>
          <w:lang w:val="en-US" w:eastAsia="nl-BE"/>
        </w:rPr>
        <w:t xml:space="preserve"> Block Exemption Regulation).</w:t>
      </w:r>
    </w:p>
    <w:p w14:paraId="3875F5C3" w14:textId="08185640" w:rsidR="006C5BBC" w:rsidRPr="002A7162" w:rsidRDefault="00956EF8" w:rsidP="00FA572C">
      <w:pPr>
        <w:pStyle w:val="ListParagraph"/>
        <w:numPr>
          <w:ilvl w:val="0"/>
          <w:numId w:val="46"/>
        </w:numPr>
        <w:autoSpaceDE w:val="0"/>
        <w:autoSpaceDN w:val="0"/>
        <w:adjustRightInd w:val="0"/>
        <w:spacing w:before="240" w:after="240" w:line="360" w:lineRule="auto"/>
        <w:ind w:hanging="720"/>
        <w:contextualSpacing w:val="0"/>
        <w:rPr>
          <w:color w:val="000000" w:themeColor="text1"/>
          <w:lang w:val="en-US" w:eastAsia="nl-BE"/>
        </w:rPr>
      </w:pPr>
      <w:r w:rsidRPr="002A7162">
        <w:rPr>
          <w:color w:val="000000" w:themeColor="text1"/>
          <w:lang w:val="en-US" w:eastAsia="nl-BE"/>
        </w:rPr>
        <w:t xml:space="preserve">Quy định về </w:t>
      </w:r>
      <w:r w:rsidR="00D32D59" w:rsidRPr="002A7162">
        <w:rPr>
          <w:color w:val="000000" w:themeColor="text1"/>
          <w:lang w:val="en-US" w:eastAsia="nl-BE"/>
        </w:rPr>
        <w:t xml:space="preserve">thỏa thuận </w:t>
      </w:r>
      <w:r w:rsidRPr="002A7162">
        <w:rPr>
          <w:color w:val="000000" w:themeColor="text1"/>
          <w:lang w:val="en-US" w:eastAsia="nl-BE"/>
        </w:rPr>
        <w:t>sáp nhập doanh nghiệp</w:t>
      </w:r>
      <w:r w:rsidR="00D32D59" w:rsidRPr="002A7162">
        <w:rPr>
          <w:color w:val="000000" w:themeColor="text1"/>
          <w:lang w:val="en-US" w:eastAsia="nl-BE"/>
        </w:rPr>
        <w:t xml:space="preserve"> (Merger)</w:t>
      </w:r>
      <w:r w:rsidR="00CA5ABB" w:rsidRPr="002A7162">
        <w:rPr>
          <w:color w:val="000000" w:themeColor="text1"/>
          <w:lang w:val="en-US" w:eastAsia="nl-BE"/>
        </w:rPr>
        <w:t xml:space="preserve"> để kiểm soát tập trung kinh </w:t>
      </w:r>
      <w:r w:rsidR="00901B6E" w:rsidRPr="002A7162">
        <w:rPr>
          <w:color w:val="000000" w:themeColor="text1"/>
          <w:lang w:val="en-US" w:eastAsia="nl-BE"/>
        </w:rPr>
        <w:t>t</w:t>
      </w:r>
      <w:r w:rsidR="00CA5ABB" w:rsidRPr="002A7162">
        <w:rPr>
          <w:color w:val="000000" w:themeColor="text1"/>
          <w:lang w:val="en-US" w:eastAsia="nl-BE"/>
        </w:rPr>
        <w:t>ế (Concentration) giữa các doanh nghiệp có ý định sáp nhập: Quy định của Hội đồng Châu Âu số 139/2004</w:t>
      </w:r>
      <w:r w:rsidR="00CA5ABB">
        <w:rPr>
          <w:rStyle w:val="FootnoteReference"/>
          <w:color w:val="000000" w:themeColor="text1"/>
          <w:lang w:eastAsia="nl-BE"/>
        </w:rPr>
        <w:footnoteReference w:id="58"/>
      </w:r>
      <w:r w:rsidR="00743DB2" w:rsidRPr="002A7162">
        <w:rPr>
          <w:color w:val="000000" w:themeColor="text1"/>
          <w:lang w:val="en-US" w:eastAsia="nl-BE"/>
        </w:rPr>
        <w:t xml:space="preserve">, hướng dẫn bởi Hướng dẫn (Guidelines) </w:t>
      </w:r>
      <w:r w:rsidR="005F0CF5" w:rsidRPr="002A7162">
        <w:rPr>
          <w:color w:val="000000" w:themeColor="text1"/>
          <w:lang w:val="en-US" w:eastAsia="nl-BE"/>
        </w:rPr>
        <w:t>số</w:t>
      </w:r>
      <w:r w:rsidR="00086374" w:rsidRPr="002A7162">
        <w:rPr>
          <w:color w:val="000000" w:themeColor="text1"/>
          <w:lang w:val="en-US" w:eastAsia="nl-BE"/>
        </w:rPr>
        <w:t xml:space="preserve"> 2004</w:t>
      </w:r>
      <w:r w:rsidR="005F0CF5" w:rsidRPr="002A7162">
        <w:rPr>
          <w:color w:val="000000" w:themeColor="text1"/>
          <w:lang w:val="en-US" w:eastAsia="nl-BE"/>
        </w:rPr>
        <w:t>/C</w:t>
      </w:r>
      <w:r w:rsidR="00086374" w:rsidRPr="002A7162">
        <w:rPr>
          <w:color w:val="000000" w:themeColor="text1"/>
          <w:lang w:val="en-US" w:eastAsia="nl-BE"/>
        </w:rPr>
        <w:t xml:space="preserve"> </w:t>
      </w:r>
      <w:r w:rsidR="005F0CF5" w:rsidRPr="002A7162">
        <w:rPr>
          <w:color w:val="000000" w:themeColor="text1"/>
          <w:lang w:val="en-US" w:eastAsia="nl-BE"/>
        </w:rPr>
        <w:t xml:space="preserve">31/03 </w:t>
      </w:r>
      <w:r w:rsidR="00743DB2" w:rsidRPr="002A7162">
        <w:rPr>
          <w:color w:val="000000" w:themeColor="text1"/>
          <w:lang w:val="en-US" w:eastAsia="nl-BE"/>
        </w:rPr>
        <w:t>của Ủy ban Châu Âu</w:t>
      </w:r>
      <w:r w:rsidR="00086374" w:rsidRPr="002A7162">
        <w:rPr>
          <w:color w:val="000000" w:themeColor="text1"/>
          <w:lang w:val="en-US" w:eastAsia="nl-BE"/>
        </w:rPr>
        <w:t xml:space="preserve"> về sáp nhập theo chiều </w:t>
      </w:r>
      <w:r w:rsidR="001F2034" w:rsidRPr="002A7162">
        <w:rPr>
          <w:color w:val="000000" w:themeColor="text1"/>
          <w:lang w:val="en-US" w:eastAsia="nl-BE"/>
        </w:rPr>
        <w:t>ngang</w:t>
      </w:r>
      <w:r w:rsidR="00086374" w:rsidRPr="002A7162">
        <w:rPr>
          <w:color w:val="000000" w:themeColor="text1"/>
          <w:lang w:val="en-US" w:eastAsia="nl-BE"/>
        </w:rPr>
        <w:t xml:space="preserve"> (Horizontal merger)</w:t>
      </w:r>
      <w:r w:rsidR="001F2034">
        <w:rPr>
          <w:rStyle w:val="FootnoteReference"/>
          <w:color w:val="000000" w:themeColor="text1"/>
          <w:lang w:eastAsia="nl-BE"/>
        </w:rPr>
        <w:footnoteReference w:id="59"/>
      </w:r>
      <w:r w:rsidR="001F2034" w:rsidRPr="002A7162">
        <w:rPr>
          <w:color w:val="000000" w:themeColor="text1"/>
          <w:lang w:val="en-US" w:eastAsia="nl-BE"/>
        </w:rPr>
        <w:t xml:space="preserve"> và Hướng dẫn (Guidelines) </w:t>
      </w:r>
      <w:r w:rsidR="00ED56F7" w:rsidRPr="002A7162">
        <w:rPr>
          <w:color w:val="000000" w:themeColor="text1"/>
          <w:lang w:val="en-US" w:eastAsia="nl-BE"/>
        </w:rPr>
        <w:t>số 2008/C 265/07</w:t>
      </w:r>
      <w:r w:rsidR="001F2034" w:rsidRPr="002A7162">
        <w:rPr>
          <w:color w:val="000000" w:themeColor="text1"/>
          <w:lang w:val="en-US" w:eastAsia="nl-BE"/>
        </w:rPr>
        <w:t xml:space="preserve"> của Ủy ban Châu Âu về sáp nhập không theo chiều ngang (Non-Horizontal merger)</w:t>
      </w:r>
      <w:r w:rsidR="00ED56F7">
        <w:rPr>
          <w:rStyle w:val="FootnoteReference"/>
          <w:color w:val="000000" w:themeColor="text1"/>
          <w:lang w:eastAsia="nl-BE"/>
        </w:rPr>
        <w:footnoteReference w:id="60"/>
      </w:r>
      <w:r w:rsidR="00B92309" w:rsidRPr="002A7162">
        <w:rPr>
          <w:color w:val="000000" w:themeColor="text1"/>
          <w:lang w:val="en-US" w:eastAsia="nl-BE"/>
        </w:rPr>
        <w:t>.</w:t>
      </w:r>
      <w:r w:rsidR="004565D8" w:rsidRPr="002A7162">
        <w:rPr>
          <w:color w:val="000000" w:themeColor="text1"/>
          <w:lang w:val="en-US" w:eastAsia="nl-BE"/>
        </w:rPr>
        <w:t xml:space="preserve"> Ngoài ra, Ủy ban Châu Âu cũng đã ban hành </w:t>
      </w:r>
      <w:r w:rsidR="000313DB" w:rsidRPr="002A7162">
        <w:rPr>
          <w:color w:val="000000" w:themeColor="text1"/>
          <w:lang w:val="en-US" w:eastAsia="nl-BE"/>
        </w:rPr>
        <w:t xml:space="preserve">Thông báo (Notice) </w:t>
      </w:r>
      <w:r w:rsidR="00D839C3" w:rsidRPr="002A7162">
        <w:rPr>
          <w:color w:val="000000" w:themeColor="text1"/>
          <w:lang w:val="en-US" w:eastAsia="nl-BE"/>
        </w:rPr>
        <w:t>số 2008/C 267/01</w:t>
      </w:r>
      <w:r w:rsidR="000E24B3">
        <w:rPr>
          <w:rStyle w:val="FootnoteReference"/>
          <w:color w:val="000000" w:themeColor="text1"/>
          <w:lang w:eastAsia="nl-BE"/>
        </w:rPr>
        <w:footnoteReference w:id="61"/>
      </w:r>
      <w:r w:rsidR="00D839C3" w:rsidRPr="002A7162">
        <w:rPr>
          <w:color w:val="000000" w:themeColor="text1"/>
          <w:lang w:val="en-US" w:eastAsia="nl-BE"/>
        </w:rPr>
        <w:t xml:space="preserve"> về các phương pháp mà các doanh nghiệp sáp nhập có thể thực hiện </w:t>
      </w:r>
      <w:r w:rsidR="000E24B3" w:rsidRPr="002A7162">
        <w:rPr>
          <w:color w:val="000000" w:themeColor="text1"/>
          <w:lang w:val="en-US" w:eastAsia="nl-BE"/>
        </w:rPr>
        <w:t xml:space="preserve">và thay đổi cấu trúc của việc sáp nhập </w:t>
      </w:r>
      <w:r w:rsidR="00D839C3" w:rsidRPr="002A7162">
        <w:rPr>
          <w:color w:val="000000" w:themeColor="text1"/>
          <w:lang w:val="en-US" w:eastAsia="nl-BE"/>
        </w:rPr>
        <w:t>để tránh bị coi là tập trung kinh tế và được Ủy ban Châu Âu xem xét chấp thuận việc sáp nhập</w:t>
      </w:r>
      <w:r w:rsidR="000E24B3" w:rsidRPr="002A7162">
        <w:rPr>
          <w:color w:val="000000" w:themeColor="text1"/>
          <w:lang w:val="en-US" w:eastAsia="nl-BE"/>
        </w:rPr>
        <w:t xml:space="preserve"> (gọi là Remedies Notice).</w:t>
      </w:r>
    </w:p>
    <w:p w14:paraId="1E074D5B" w14:textId="3C1439AD" w:rsidR="0038057C" w:rsidRPr="002A7162" w:rsidRDefault="00236BC7" w:rsidP="009F2B7F">
      <w:pPr>
        <w:pStyle w:val="ListParagraph"/>
        <w:numPr>
          <w:ilvl w:val="0"/>
          <w:numId w:val="46"/>
        </w:numPr>
        <w:autoSpaceDE w:val="0"/>
        <w:autoSpaceDN w:val="0"/>
        <w:adjustRightInd w:val="0"/>
        <w:spacing w:before="240" w:after="240" w:line="360" w:lineRule="auto"/>
        <w:ind w:hanging="720"/>
        <w:contextualSpacing w:val="0"/>
        <w:rPr>
          <w:color w:val="000000" w:themeColor="text1"/>
          <w:lang w:val="en-US" w:eastAsia="nl-BE"/>
        </w:rPr>
      </w:pPr>
      <w:r w:rsidRPr="002A7162">
        <w:rPr>
          <w:color w:val="000000" w:themeColor="text1"/>
          <w:lang w:val="en-US" w:eastAsia="nl-BE"/>
        </w:rPr>
        <w:t xml:space="preserve">Quy định về hành </w:t>
      </w:r>
      <w:proofErr w:type="gramStart"/>
      <w:r w:rsidRPr="002A7162">
        <w:rPr>
          <w:color w:val="000000" w:themeColor="text1"/>
          <w:lang w:val="en-US" w:eastAsia="nl-BE"/>
        </w:rPr>
        <w:t>vi</w:t>
      </w:r>
      <w:proofErr w:type="gramEnd"/>
      <w:r w:rsidRPr="002A7162">
        <w:rPr>
          <w:color w:val="000000" w:themeColor="text1"/>
          <w:lang w:val="en-US" w:eastAsia="nl-BE"/>
        </w:rPr>
        <w:t xml:space="preserve"> lạm dụng vị trí thống lĩnh thị trường (abuse)</w:t>
      </w:r>
      <w:r w:rsidR="00981B64" w:rsidRPr="002A7162">
        <w:rPr>
          <w:color w:val="000000" w:themeColor="text1"/>
          <w:lang w:val="en-US" w:eastAsia="nl-BE"/>
        </w:rPr>
        <w:t xml:space="preserve"> theo Điều 102 TFEU: Hướng dẫn (Guidelines) số 200</w:t>
      </w:r>
      <w:r w:rsidR="00145C15" w:rsidRPr="002A7162">
        <w:rPr>
          <w:color w:val="000000" w:themeColor="text1"/>
          <w:lang w:val="en-US" w:eastAsia="nl-BE"/>
        </w:rPr>
        <w:t>9</w:t>
      </w:r>
      <w:r w:rsidR="00981B64" w:rsidRPr="002A7162">
        <w:rPr>
          <w:color w:val="000000" w:themeColor="text1"/>
          <w:lang w:val="en-US" w:eastAsia="nl-BE"/>
        </w:rPr>
        <w:t xml:space="preserve">/C </w:t>
      </w:r>
      <w:r w:rsidR="00145C15" w:rsidRPr="002A7162">
        <w:rPr>
          <w:color w:val="000000" w:themeColor="text1"/>
          <w:lang w:val="en-US" w:eastAsia="nl-BE"/>
        </w:rPr>
        <w:t>45</w:t>
      </w:r>
      <w:r w:rsidR="00981B64" w:rsidRPr="002A7162">
        <w:rPr>
          <w:color w:val="000000" w:themeColor="text1"/>
          <w:lang w:val="en-US" w:eastAsia="nl-BE"/>
        </w:rPr>
        <w:t>/0</w:t>
      </w:r>
      <w:r w:rsidR="00145C15" w:rsidRPr="002A7162">
        <w:rPr>
          <w:color w:val="000000" w:themeColor="text1"/>
          <w:lang w:val="en-US" w:eastAsia="nl-BE"/>
        </w:rPr>
        <w:t>2</w:t>
      </w:r>
      <w:r w:rsidR="00981B64" w:rsidRPr="002A7162">
        <w:rPr>
          <w:color w:val="000000" w:themeColor="text1"/>
          <w:lang w:val="en-US" w:eastAsia="nl-BE"/>
        </w:rPr>
        <w:t xml:space="preserve"> của Ủy ban Châu Âu</w:t>
      </w:r>
      <w:r w:rsidR="00145C15">
        <w:rPr>
          <w:rStyle w:val="FootnoteReference"/>
          <w:color w:val="000000" w:themeColor="text1"/>
          <w:lang w:eastAsia="nl-BE"/>
        </w:rPr>
        <w:footnoteReference w:id="62"/>
      </w:r>
      <w:r w:rsidR="00145C15" w:rsidRPr="002A7162">
        <w:rPr>
          <w:color w:val="000000" w:themeColor="text1"/>
          <w:lang w:val="en-US" w:eastAsia="nl-BE"/>
        </w:rPr>
        <w:t>.</w:t>
      </w:r>
    </w:p>
    <w:p w14:paraId="6EF56368" w14:textId="4C4D42F0" w:rsidR="00145C15" w:rsidRPr="002A7162" w:rsidRDefault="00523C05" w:rsidP="009F2B7F">
      <w:pPr>
        <w:pStyle w:val="ListParagraph"/>
        <w:numPr>
          <w:ilvl w:val="0"/>
          <w:numId w:val="46"/>
        </w:numPr>
        <w:autoSpaceDE w:val="0"/>
        <w:autoSpaceDN w:val="0"/>
        <w:adjustRightInd w:val="0"/>
        <w:spacing w:before="240" w:after="240" w:line="360" w:lineRule="auto"/>
        <w:ind w:hanging="720"/>
        <w:contextualSpacing w:val="0"/>
        <w:rPr>
          <w:color w:val="000000" w:themeColor="text1"/>
          <w:lang w:val="en-US" w:eastAsia="nl-BE"/>
        </w:rPr>
      </w:pPr>
      <w:r w:rsidRPr="002A7162">
        <w:rPr>
          <w:color w:val="000000" w:themeColor="text1"/>
          <w:lang w:val="en-US" w:eastAsia="nl-BE"/>
        </w:rPr>
        <w:t xml:space="preserve">Để đối phó với các hành vi thỏa thuận hạn chế cạnh tranh (Cartel), </w:t>
      </w:r>
      <w:r w:rsidR="009F2F50" w:rsidRPr="002A7162">
        <w:rPr>
          <w:color w:val="000000" w:themeColor="text1"/>
          <w:lang w:val="en-US" w:eastAsia="nl-BE"/>
        </w:rPr>
        <w:t>Ủy ban Châu Â</w:t>
      </w:r>
      <w:r w:rsidR="00AB5412" w:rsidRPr="002A7162">
        <w:rPr>
          <w:color w:val="000000" w:themeColor="text1"/>
          <w:lang w:val="en-US" w:eastAsia="nl-BE"/>
        </w:rPr>
        <w:t>u</w:t>
      </w:r>
      <w:r w:rsidRPr="002A7162">
        <w:rPr>
          <w:color w:val="000000" w:themeColor="text1"/>
          <w:lang w:val="en-US" w:eastAsia="nl-BE"/>
        </w:rPr>
        <w:t xml:space="preserve"> đã ban hành </w:t>
      </w:r>
      <w:r w:rsidR="00BC7CBB" w:rsidRPr="002A7162">
        <w:rPr>
          <w:color w:val="000000" w:themeColor="text1"/>
          <w:lang w:val="en-US" w:eastAsia="nl-BE"/>
        </w:rPr>
        <w:t>Hướng dẫn (Guidelines) số 2006/C 210/02</w:t>
      </w:r>
      <w:r w:rsidR="00AB5412" w:rsidRPr="002A7162">
        <w:rPr>
          <w:color w:val="000000" w:themeColor="text1"/>
          <w:lang w:val="en-US" w:eastAsia="nl-BE"/>
        </w:rPr>
        <w:t xml:space="preserve"> về các phương thức áp dụng xử phạt</w:t>
      </w:r>
      <w:r w:rsidR="00AB5412">
        <w:rPr>
          <w:rStyle w:val="FootnoteReference"/>
          <w:color w:val="000000" w:themeColor="text1"/>
          <w:lang w:eastAsia="nl-BE"/>
        </w:rPr>
        <w:footnoteReference w:id="63"/>
      </w:r>
      <w:r w:rsidR="0076133A" w:rsidRPr="002A7162">
        <w:rPr>
          <w:color w:val="000000" w:themeColor="text1"/>
          <w:lang w:val="en-US" w:eastAsia="nl-BE"/>
        </w:rPr>
        <w:t>.</w:t>
      </w:r>
    </w:p>
    <w:p w14:paraId="4B0DD7C4" w14:textId="4336ACA2" w:rsidR="0076133A" w:rsidRPr="002A7162" w:rsidRDefault="007154F8" w:rsidP="009F2B7F">
      <w:pPr>
        <w:pStyle w:val="ListParagraph"/>
        <w:numPr>
          <w:ilvl w:val="0"/>
          <w:numId w:val="46"/>
        </w:numPr>
        <w:autoSpaceDE w:val="0"/>
        <w:autoSpaceDN w:val="0"/>
        <w:adjustRightInd w:val="0"/>
        <w:spacing w:before="240" w:after="240" w:line="360" w:lineRule="auto"/>
        <w:ind w:hanging="720"/>
        <w:contextualSpacing w:val="0"/>
        <w:rPr>
          <w:color w:val="000000" w:themeColor="text1"/>
          <w:lang w:val="en-US" w:eastAsia="nl-BE"/>
        </w:rPr>
      </w:pPr>
      <w:r w:rsidRPr="002A7162">
        <w:rPr>
          <w:color w:val="000000" w:themeColor="text1"/>
          <w:lang w:val="en-US" w:eastAsia="nl-BE"/>
        </w:rPr>
        <w:t>Trước khi xử phạt, Ủy ban Châu Âu sẽ phải tiến hành điều tra (investigation)</w:t>
      </w:r>
      <w:r w:rsidR="00DE2423" w:rsidRPr="002A7162">
        <w:rPr>
          <w:color w:val="000000" w:themeColor="text1"/>
          <w:lang w:val="en-US" w:eastAsia="nl-BE"/>
        </w:rPr>
        <w:t xml:space="preserve">. Đây chính là một cơ sở để các bên (undertakings) trong một giao dịch </w:t>
      </w:r>
      <w:r w:rsidR="000A3317" w:rsidRPr="002A7162">
        <w:rPr>
          <w:color w:val="000000" w:themeColor="text1"/>
          <w:lang w:val="en-US" w:eastAsia="nl-BE"/>
        </w:rPr>
        <w:t xml:space="preserve">mà </w:t>
      </w:r>
      <w:r w:rsidR="003072D4" w:rsidRPr="002A7162">
        <w:rPr>
          <w:color w:val="000000" w:themeColor="text1"/>
          <w:lang w:val="en-US" w:eastAsia="nl-BE"/>
        </w:rPr>
        <w:t xml:space="preserve">bên đó cho rằng và/hoặc có cơ sở tin rằng là giao dịch </w:t>
      </w:r>
      <w:r w:rsidR="00DE2423" w:rsidRPr="002A7162">
        <w:rPr>
          <w:color w:val="000000" w:themeColor="text1"/>
          <w:lang w:val="en-US" w:eastAsia="nl-BE"/>
        </w:rPr>
        <w:t>cạnh tranh không lành mạnh</w:t>
      </w:r>
      <w:r w:rsidR="003072D4" w:rsidRPr="002A7162">
        <w:rPr>
          <w:color w:val="000000" w:themeColor="text1"/>
          <w:lang w:val="en-US" w:eastAsia="nl-BE"/>
        </w:rPr>
        <w:t xml:space="preserve">, </w:t>
      </w:r>
      <w:r w:rsidR="00DE2423" w:rsidRPr="002A7162">
        <w:rPr>
          <w:color w:val="000000" w:themeColor="text1"/>
          <w:lang w:val="en-US" w:eastAsia="nl-BE"/>
        </w:rPr>
        <w:t>có thể không bị xử phạt</w:t>
      </w:r>
      <w:r w:rsidR="00595C83" w:rsidRPr="002A7162">
        <w:rPr>
          <w:color w:val="000000" w:themeColor="text1"/>
          <w:lang w:val="en-US" w:eastAsia="nl-BE"/>
        </w:rPr>
        <w:t>:</w:t>
      </w:r>
    </w:p>
    <w:p w14:paraId="1005FF94" w14:textId="6F97A2BF" w:rsidR="00595C83" w:rsidRPr="002A7162" w:rsidRDefault="00595C83" w:rsidP="00595C83">
      <w:pPr>
        <w:pStyle w:val="ListParagraph"/>
        <w:numPr>
          <w:ilvl w:val="0"/>
          <w:numId w:val="48"/>
        </w:numPr>
        <w:autoSpaceDE w:val="0"/>
        <w:autoSpaceDN w:val="0"/>
        <w:adjustRightInd w:val="0"/>
        <w:spacing w:before="240" w:after="240" w:line="360" w:lineRule="auto"/>
        <w:contextualSpacing w:val="0"/>
        <w:rPr>
          <w:color w:val="000000" w:themeColor="text1"/>
          <w:lang w:val="en-US" w:eastAsia="nl-BE"/>
        </w:rPr>
      </w:pPr>
      <w:r w:rsidRPr="002A7162">
        <w:rPr>
          <w:color w:val="000000" w:themeColor="text1"/>
          <w:lang w:val="en-US" w:eastAsia="nl-BE"/>
        </w:rPr>
        <w:t xml:space="preserve">Tự mình thực hiện việc điều tra thay cho Ủy ban Châu Âu, </w:t>
      </w:r>
      <w:r w:rsidR="000A3317" w:rsidRPr="002A7162">
        <w:rPr>
          <w:color w:val="000000" w:themeColor="text1"/>
          <w:lang w:val="en-US" w:eastAsia="nl-BE"/>
        </w:rPr>
        <w:t>sau đó báo cáo cho Ủy ban Châu Âu để</w:t>
      </w:r>
      <w:r w:rsidR="003072D4" w:rsidRPr="002A7162">
        <w:rPr>
          <w:color w:val="000000" w:themeColor="text1"/>
          <w:lang w:val="en-US" w:eastAsia="nl-BE"/>
        </w:rPr>
        <w:t xml:space="preserve"> được </w:t>
      </w:r>
      <w:r w:rsidR="007E77A0" w:rsidRPr="002A7162">
        <w:rPr>
          <w:color w:val="000000" w:themeColor="text1"/>
          <w:lang w:val="en-US" w:eastAsia="nl-BE"/>
        </w:rPr>
        <w:t>coi là hợp tác (rewarding cooperation). Quy định này gọi là Settlement Notice</w:t>
      </w:r>
      <w:r w:rsidR="00B9404E" w:rsidRPr="002A7162">
        <w:rPr>
          <w:color w:val="000000" w:themeColor="text1"/>
          <w:lang w:val="en-US" w:eastAsia="nl-BE"/>
        </w:rPr>
        <w:t xml:space="preserve"> </w:t>
      </w:r>
      <w:proofErr w:type="gramStart"/>
      <w:r w:rsidR="00B9404E" w:rsidRPr="002A7162">
        <w:rPr>
          <w:color w:val="000000" w:themeColor="text1"/>
          <w:lang w:val="en-US" w:eastAsia="nl-BE"/>
        </w:rPr>
        <w:t>theo</w:t>
      </w:r>
      <w:proofErr w:type="gramEnd"/>
      <w:r w:rsidR="00B9404E" w:rsidRPr="002A7162">
        <w:rPr>
          <w:color w:val="000000" w:themeColor="text1"/>
          <w:lang w:val="en-US" w:eastAsia="nl-BE"/>
        </w:rPr>
        <w:t xml:space="preserve"> Thông báo (Notice) số 2008/C 167/01</w:t>
      </w:r>
      <w:r w:rsidR="00B9404E">
        <w:rPr>
          <w:rStyle w:val="FootnoteReference"/>
          <w:color w:val="000000" w:themeColor="text1"/>
          <w:lang w:eastAsia="nl-BE"/>
        </w:rPr>
        <w:footnoteReference w:id="64"/>
      </w:r>
      <w:r w:rsidR="00B9404E" w:rsidRPr="002A7162">
        <w:rPr>
          <w:color w:val="000000" w:themeColor="text1"/>
          <w:lang w:val="en-US" w:eastAsia="nl-BE"/>
        </w:rPr>
        <w:t>.</w:t>
      </w:r>
    </w:p>
    <w:p w14:paraId="53EF5E0B" w14:textId="4927EB8A" w:rsidR="00874BE8" w:rsidRPr="002A7162" w:rsidRDefault="00CE1FFD" w:rsidP="00B402A3">
      <w:pPr>
        <w:pStyle w:val="ListParagraph"/>
        <w:numPr>
          <w:ilvl w:val="0"/>
          <w:numId w:val="48"/>
        </w:numPr>
        <w:autoSpaceDE w:val="0"/>
        <w:autoSpaceDN w:val="0"/>
        <w:adjustRightInd w:val="0"/>
        <w:spacing w:before="240" w:after="240" w:line="360" w:lineRule="auto"/>
        <w:contextualSpacing w:val="0"/>
        <w:rPr>
          <w:lang w:val="en-GB" w:eastAsia="nl-BE"/>
        </w:rPr>
      </w:pPr>
      <w:r w:rsidRPr="002A7162">
        <w:rPr>
          <w:color w:val="000000" w:themeColor="text1"/>
          <w:lang w:val="en-US" w:eastAsia="nl-BE"/>
        </w:rPr>
        <w:t>Cung cấp các tài liệu cần thiết cho</w:t>
      </w:r>
      <w:r w:rsidR="00BB2EA2" w:rsidRPr="002A7162">
        <w:rPr>
          <w:color w:val="000000" w:themeColor="text1"/>
          <w:lang w:val="en-US" w:eastAsia="nl-BE"/>
        </w:rPr>
        <w:t xml:space="preserve"> Ủy ban Châu Âu</w:t>
      </w:r>
      <w:r w:rsidRPr="002A7162">
        <w:rPr>
          <w:color w:val="000000" w:themeColor="text1"/>
          <w:lang w:val="en-US" w:eastAsia="nl-BE"/>
        </w:rPr>
        <w:t xml:space="preserve"> để Ủy ban Châu Âu thực hiện điều tra nhằm mục đ</w:t>
      </w:r>
      <w:r w:rsidR="00751D92" w:rsidRPr="002A7162">
        <w:rPr>
          <w:color w:val="000000" w:themeColor="text1"/>
          <w:lang w:val="en-US" w:eastAsia="nl-BE"/>
        </w:rPr>
        <w:t>í</w:t>
      </w:r>
      <w:r w:rsidRPr="002A7162">
        <w:rPr>
          <w:color w:val="000000" w:themeColor="text1"/>
          <w:lang w:val="en-US" w:eastAsia="nl-BE"/>
        </w:rPr>
        <w:t xml:space="preserve">ch được hưởng quy chế </w:t>
      </w:r>
      <w:proofErr w:type="gramStart"/>
      <w:r w:rsidR="004649AB" w:rsidRPr="002A7162">
        <w:rPr>
          <w:color w:val="000000" w:themeColor="text1"/>
          <w:lang w:val="en-US" w:eastAsia="nl-BE"/>
        </w:rPr>
        <w:t>ân</w:t>
      </w:r>
      <w:proofErr w:type="gramEnd"/>
      <w:r w:rsidR="004649AB" w:rsidRPr="002A7162">
        <w:rPr>
          <w:color w:val="000000" w:themeColor="text1"/>
          <w:lang w:val="en-US" w:eastAsia="nl-BE"/>
        </w:rPr>
        <w:t xml:space="preserve"> xá</w:t>
      </w:r>
      <w:r w:rsidR="00751D92" w:rsidRPr="002A7162">
        <w:rPr>
          <w:color w:val="000000" w:themeColor="text1"/>
          <w:lang w:val="en-US" w:eastAsia="nl-BE"/>
        </w:rPr>
        <w:t xml:space="preserve"> (leniency)</w:t>
      </w:r>
      <w:r w:rsidR="00BB2EA2" w:rsidRPr="002A7162">
        <w:rPr>
          <w:color w:val="000000" w:themeColor="text1"/>
          <w:lang w:val="en-US" w:eastAsia="nl-BE"/>
        </w:rPr>
        <w:t>. Quy định này gọi là Len</w:t>
      </w:r>
      <w:r w:rsidRPr="002A7162">
        <w:rPr>
          <w:color w:val="000000" w:themeColor="text1"/>
          <w:lang w:val="en-US" w:eastAsia="nl-BE"/>
        </w:rPr>
        <w:t>iency</w:t>
      </w:r>
      <w:r w:rsidR="00BB2EA2" w:rsidRPr="002A7162">
        <w:rPr>
          <w:color w:val="000000" w:themeColor="text1"/>
          <w:lang w:val="en-US" w:eastAsia="nl-BE"/>
        </w:rPr>
        <w:t xml:space="preserve"> Notice </w:t>
      </w:r>
      <w:proofErr w:type="gramStart"/>
      <w:r w:rsidR="00BB2EA2" w:rsidRPr="002A7162">
        <w:rPr>
          <w:color w:val="000000" w:themeColor="text1"/>
          <w:lang w:val="en-US" w:eastAsia="nl-BE"/>
        </w:rPr>
        <w:t>theo</w:t>
      </w:r>
      <w:proofErr w:type="gramEnd"/>
      <w:r w:rsidR="00BB2EA2" w:rsidRPr="002A7162">
        <w:rPr>
          <w:color w:val="000000" w:themeColor="text1"/>
          <w:lang w:val="en-US" w:eastAsia="nl-BE"/>
        </w:rPr>
        <w:t xml:space="preserve"> Thông báo (Notice) số 2006/C 298/11</w:t>
      </w:r>
      <w:r w:rsidR="00BB2EA2">
        <w:rPr>
          <w:rStyle w:val="FootnoteReference"/>
          <w:color w:val="000000" w:themeColor="text1"/>
          <w:lang w:eastAsia="nl-BE"/>
        </w:rPr>
        <w:footnoteReference w:id="65"/>
      </w:r>
      <w:r w:rsidR="00BB2EA2" w:rsidRPr="002A7162">
        <w:rPr>
          <w:color w:val="000000" w:themeColor="text1"/>
          <w:lang w:val="en-US" w:eastAsia="nl-BE"/>
        </w:rPr>
        <w:t>.</w:t>
      </w:r>
    </w:p>
    <w:sectPr w:rsidR="00874BE8" w:rsidRPr="002A7162" w:rsidSect="00592B85">
      <w:headerReference w:type="even" r:id="rId9"/>
      <w:headerReference w:type="default" r:id="rId10"/>
      <w:footerReference w:type="default" r:id="rId11"/>
      <w:footerReference w:type="first" r:id="rId12"/>
      <w:pgSz w:w="11907" w:h="16839" w:code="9"/>
      <w:pgMar w:top="1440" w:right="1440" w:bottom="1440" w:left="1440" w:header="706" w:footer="706"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3F437B" w14:textId="77777777" w:rsidR="00D40058" w:rsidRDefault="00D40058">
      <w:r>
        <w:separator/>
      </w:r>
    </w:p>
  </w:endnote>
  <w:endnote w:type="continuationSeparator" w:id="0">
    <w:p w14:paraId="4C9EC864" w14:textId="77777777" w:rsidR="00D40058" w:rsidRDefault="00D40058">
      <w:r>
        <w:continuationSeparator/>
      </w:r>
    </w:p>
  </w:endnote>
  <w:endnote w:type="continuationNotice" w:id="1">
    <w:p w14:paraId="2EF3D88E" w14:textId="77777777" w:rsidR="00D40058" w:rsidRDefault="00D4005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Myriad Pro Light">
    <w:altName w:val="Myriad Pro Light"/>
    <w:panose1 w:val="00000000000000000000"/>
    <w:charset w:val="00"/>
    <w:family w:val="swiss"/>
    <w:notTrueType/>
    <w:pitch w:val="variable"/>
    <w:sig w:usb0="20000287" w:usb1="00000001" w:usb2="00000000" w:usb3="00000000" w:csb0="0000019F" w:csb1="00000000"/>
  </w:font>
  <w:font w:name="AG DaxProRegular">
    <w:altName w:val="Calibri"/>
    <w:panose1 w:val="00000000000000000000"/>
    <w:charset w:val="00"/>
    <w:family w:val="swiss"/>
    <w:notTrueType/>
    <w:pitch w:val="default"/>
    <w:sig w:usb0="20000003" w:usb1="00000000" w:usb2="00000000" w:usb3="00000000" w:csb0="00000101" w:csb1="00000000"/>
  </w:font>
  <w:font w:name="AG DaxProBold">
    <w:altName w:val="Calibri"/>
    <w:panose1 w:val="00000000000000000000"/>
    <w:charset w:val="00"/>
    <w:family w:val="swiss"/>
    <w:notTrueType/>
    <w:pitch w:val="default"/>
    <w:sig w:usb0="00000003" w:usb1="00000000" w:usb2="00000000" w:usb3="00000000" w:csb0="00000001" w:csb1="00000000"/>
  </w:font>
  <w:font w:name="Minion Pro">
    <w:altName w:val="Minion Pro"/>
    <w:panose1 w:val="00000000000000000000"/>
    <w:charset w:val="00"/>
    <w:family w:val="roman"/>
    <w:notTrueType/>
    <w:pitch w:val="variable"/>
    <w:sig w:usb0="60000287" w:usb1="00000001"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394"/>
      <w:gridCol w:w="1849"/>
    </w:tblGrid>
    <w:sdt>
      <w:sdtPr>
        <w:rPr>
          <w:rFonts w:asciiTheme="majorHAnsi" w:eastAsiaTheme="majorEastAsia" w:hAnsiTheme="majorHAnsi" w:cstheme="majorBidi"/>
          <w:sz w:val="20"/>
          <w:szCs w:val="20"/>
        </w:rPr>
        <w:id w:val="109484542"/>
        <w:docPartObj>
          <w:docPartGallery w:val="Page Numbers (Bottom of Page)"/>
          <w:docPartUnique/>
        </w:docPartObj>
      </w:sdtPr>
      <w:sdtEndPr>
        <w:rPr>
          <w:rFonts w:ascii="Times New Roman" w:eastAsia="Calibri" w:hAnsi="Times New Roman" w:cs="Times New Roman"/>
          <w:noProof/>
          <w:sz w:val="24"/>
          <w:szCs w:val="22"/>
        </w:rPr>
      </w:sdtEndPr>
      <w:sdtContent>
        <w:tr w:rsidR="00D31F60" w14:paraId="2F9EFAD6" w14:textId="77777777">
          <w:trPr>
            <w:trHeight w:val="727"/>
          </w:trPr>
          <w:tc>
            <w:tcPr>
              <w:tcW w:w="4000" w:type="pct"/>
              <w:tcBorders>
                <w:right w:val="triple" w:sz="4" w:space="0" w:color="4F81BD" w:themeColor="accent1"/>
              </w:tcBorders>
            </w:tcPr>
            <w:p w14:paraId="1932D31C" w14:textId="6E3F08D9" w:rsidR="00D31F60" w:rsidRDefault="00D31F60">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F81BD" w:themeColor="accent1"/>
              </w:tcBorders>
            </w:tcPr>
            <w:p w14:paraId="4DD997BD" w14:textId="0109C108" w:rsidR="00D31F60" w:rsidRDefault="00D31F60">
              <w:pPr>
                <w:tabs>
                  <w:tab w:val="left" w:pos="1490"/>
                </w:tabs>
                <w:rPr>
                  <w:rFonts w:asciiTheme="majorHAnsi" w:eastAsiaTheme="majorEastAsia" w:hAnsiTheme="majorHAnsi" w:cstheme="majorBidi"/>
                  <w:sz w:val="28"/>
                  <w:szCs w:val="28"/>
                </w:rPr>
              </w:pPr>
              <w:r>
                <w:fldChar w:fldCharType="begin"/>
              </w:r>
              <w:r>
                <w:instrText xml:space="preserve"> PAGE    \* MERGEFORMAT </w:instrText>
              </w:r>
              <w:r>
                <w:fldChar w:fldCharType="separate"/>
              </w:r>
              <w:r w:rsidR="002214DA">
                <w:rPr>
                  <w:noProof/>
                </w:rPr>
                <w:t>2</w:t>
              </w:r>
              <w:r>
                <w:rPr>
                  <w:noProof/>
                </w:rPr>
                <w:fldChar w:fldCharType="end"/>
              </w:r>
            </w:p>
          </w:tc>
        </w:tr>
      </w:sdtContent>
    </w:sdt>
  </w:tbl>
  <w:p w14:paraId="3610B22D" w14:textId="77777777" w:rsidR="00895353" w:rsidRPr="00D31F60" w:rsidRDefault="00895353" w:rsidP="00D31F60">
    <w:pPr>
      <w:pStyle w:val="Footer"/>
      <w:rPr>
        <w:b/>
        <w:bCs/>
        <w:sz w:val="32"/>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F105D7" w14:textId="77777777" w:rsidR="00667CFB" w:rsidRDefault="00667CFB">
    <w:pPr>
      <w:pStyle w:val="Header"/>
      <w:ind w:right="360"/>
      <w:rPr>
        <w:sz w:val="20"/>
        <w:szCs w:val="20"/>
        <w:lang w:val="en-US"/>
      </w:rPr>
    </w:pPr>
  </w:p>
  <w:p w14:paraId="57F105D8" w14:textId="77777777" w:rsidR="00667CFB" w:rsidRDefault="00667CFB">
    <w:pPr>
      <w:pStyle w:val="Header"/>
      <w:ind w:right="360"/>
      <w:rPr>
        <w:sz w:val="20"/>
        <w:szCs w:val="20"/>
        <w:lang w:val="en-US"/>
      </w:rPr>
    </w:pPr>
  </w:p>
  <w:p w14:paraId="57F105D9" w14:textId="77777777" w:rsidR="00667CFB" w:rsidRDefault="00667CFB">
    <w:pPr>
      <w:pStyle w:val="Footer"/>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8936D6" w14:textId="77777777" w:rsidR="00D40058" w:rsidRDefault="00D40058">
      <w:r>
        <w:separator/>
      </w:r>
    </w:p>
  </w:footnote>
  <w:footnote w:type="continuationSeparator" w:id="0">
    <w:p w14:paraId="3FA7C567" w14:textId="77777777" w:rsidR="00D40058" w:rsidRDefault="00D40058">
      <w:r>
        <w:continuationSeparator/>
      </w:r>
    </w:p>
  </w:footnote>
  <w:footnote w:type="continuationNotice" w:id="1">
    <w:p w14:paraId="7613AD8A" w14:textId="77777777" w:rsidR="00D40058" w:rsidRDefault="00D40058">
      <w:pPr>
        <w:spacing w:line="240" w:lineRule="auto"/>
      </w:pPr>
    </w:p>
  </w:footnote>
  <w:footnote w:id="2">
    <w:p w14:paraId="3EFCAB4B" w14:textId="5694704D" w:rsidR="00BE5599" w:rsidRPr="00BE5599" w:rsidRDefault="00BE5599" w:rsidP="00885406">
      <w:pPr>
        <w:pStyle w:val="FootnoteText"/>
        <w:rPr>
          <w:lang w:val="en-US"/>
        </w:rPr>
      </w:pPr>
      <w:r>
        <w:rPr>
          <w:rStyle w:val="FootnoteReference"/>
        </w:rPr>
        <w:footnoteRef/>
      </w:r>
      <w:r>
        <w:t xml:space="preserve"> </w:t>
      </w:r>
      <w:hyperlink r:id="rId1" w:history="1">
        <w:r w:rsidR="00885406">
          <w:rPr>
            <w:rStyle w:val="Hyperlink"/>
          </w:rPr>
          <w:t>https://ec.europa.eu/trade/policy/accessing-markets/trade-defence/</w:t>
        </w:r>
      </w:hyperlink>
    </w:p>
  </w:footnote>
  <w:footnote w:id="3">
    <w:p w14:paraId="15BFA5EB" w14:textId="0B5D81CB" w:rsidR="008B0CB7" w:rsidRPr="008B0CB7" w:rsidRDefault="008B0CB7">
      <w:pPr>
        <w:pStyle w:val="FootnoteText"/>
        <w:rPr>
          <w:lang w:val="en-US"/>
        </w:rPr>
      </w:pPr>
      <w:r>
        <w:rPr>
          <w:rStyle w:val="FootnoteReference"/>
        </w:rPr>
        <w:footnoteRef/>
      </w:r>
      <w:r>
        <w:t xml:space="preserve"> </w:t>
      </w:r>
      <w:hyperlink r:id="rId2" w:history="1">
        <w:r>
          <w:rPr>
            <w:rStyle w:val="Hyperlink"/>
          </w:rPr>
          <w:t>https://www.wto.org/english/res_e/publications_e/ai17_e/ai17_e.htm</w:t>
        </w:r>
      </w:hyperlink>
    </w:p>
  </w:footnote>
  <w:footnote w:id="4">
    <w:p w14:paraId="1909D45E" w14:textId="08F7BBFE" w:rsidR="00014FF1" w:rsidRPr="00014FF1" w:rsidRDefault="00014FF1" w:rsidP="00885406">
      <w:pPr>
        <w:pStyle w:val="FootnoteText"/>
        <w:rPr>
          <w:lang w:val="en-US"/>
        </w:rPr>
      </w:pPr>
      <w:r>
        <w:rPr>
          <w:rStyle w:val="FootnoteReference"/>
        </w:rPr>
        <w:footnoteRef/>
      </w:r>
      <w:r>
        <w:t xml:space="preserve"> </w:t>
      </w:r>
      <w:hyperlink r:id="rId3" w:history="1">
        <w:r w:rsidR="002E3D99">
          <w:rPr>
            <w:rStyle w:val="Hyperlink"/>
          </w:rPr>
          <w:t>https://eur-lex.europa.eu/legal-content/EN/TXT/?uri=CELEX:32016R1036</w:t>
        </w:r>
      </w:hyperlink>
    </w:p>
  </w:footnote>
  <w:footnote w:id="5">
    <w:p w14:paraId="49D4491D" w14:textId="0995933E" w:rsidR="007B341C" w:rsidRPr="007B341C" w:rsidRDefault="007B341C" w:rsidP="00885406">
      <w:pPr>
        <w:pStyle w:val="FootnoteText"/>
        <w:rPr>
          <w:lang w:val="en-US"/>
        </w:rPr>
      </w:pPr>
      <w:r>
        <w:rPr>
          <w:rStyle w:val="FootnoteReference"/>
        </w:rPr>
        <w:footnoteRef/>
      </w:r>
      <w:r>
        <w:t xml:space="preserve"> </w:t>
      </w:r>
      <w:hyperlink r:id="rId4" w:history="1">
        <w:r w:rsidR="002E3D99">
          <w:rPr>
            <w:rStyle w:val="Hyperlink"/>
          </w:rPr>
          <w:t>https://eur-lex.europa.eu/legal-content/EN/TXT/?uri=CELEX:32017R2321</w:t>
        </w:r>
      </w:hyperlink>
    </w:p>
  </w:footnote>
  <w:footnote w:id="6">
    <w:p w14:paraId="2E006E7A" w14:textId="224C9A82" w:rsidR="00624DFE" w:rsidRPr="00624DFE" w:rsidRDefault="00624DFE">
      <w:pPr>
        <w:pStyle w:val="FootnoteText"/>
        <w:rPr>
          <w:lang w:val="en-US"/>
        </w:rPr>
      </w:pPr>
      <w:r>
        <w:rPr>
          <w:rStyle w:val="FootnoteReference"/>
        </w:rPr>
        <w:footnoteRef/>
      </w:r>
      <w:r>
        <w:t xml:space="preserve"> </w:t>
      </w:r>
      <w:hyperlink r:id="rId5" w:history="1">
        <w:r w:rsidR="00FE5023">
          <w:rPr>
            <w:rStyle w:val="Hyperlink"/>
          </w:rPr>
          <w:t>https://eur-lex.europa.eu/legal-content/EN/TXT/?uri=celex:32018R0825</w:t>
        </w:r>
      </w:hyperlink>
    </w:p>
  </w:footnote>
  <w:footnote w:id="7">
    <w:p w14:paraId="34D6E065" w14:textId="015188DE" w:rsidR="00857ED0" w:rsidRPr="00857ED0" w:rsidRDefault="00857ED0">
      <w:pPr>
        <w:pStyle w:val="FootnoteText"/>
        <w:rPr>
          <w:lang w:val="en-US"/>
        </w:rPr>
      </w:pPr>
      <w:r>
        <w:rPr>
          <w:rStyle w:val="FootnoteReference"/>
        </w:rPr>
        <w:footnoteRef/>
      </w:r>
      <w:r>
        <w:t xml:space="preserve"> </w:t>
      </w:r>
      <w:hyperlink r:id="rId6" w:history="1">
        <w:r>
          <w:rPr>
            <w:rStyle w:val="Hyperlink"/>
          </w:rPr>
          <w:t>https://eur-lex.europa.eu/legal-content/EN/TXT/?uri=uriserv:OJ.C_.2014.164.01.0009.01.ENG</w:t>
        </w:r>
      </w:hyperlink>
    </w:p>
  </w:footnote>
  <w:footnote w:id="8">
    <w:p w14:paraId="79142F29" w14:textId="70A54D98" w:rsidR="00AB1A49" w:rsidRPr="00AB1A49" w:rsidRDefault="00AB1A49">
      <w:pPr>
        <w:pStyle w:val="FootnoteText"/>
        <w:rPr>
          <w:lang w:val="en-US"/>
        </w:rPr>
      </w:pPr>
      <w:r>
        <w:rPr>
          <w:rStyle w:val="FootnoteReference"/>
        </w:rPr>
        <w:footnoteRef/>
      </w:r>
      <w:r>
        <w:t xml:space="preserve"> </w:t>
      </w:r>
      <w:hyperlink r:id="rId7" w:history="1">
        <w:r w:rsidR="00B10845">
          <w:rPr>
            <w:rStyle w:val="Hyperlink"/>
          </w:rPr>
          <w:t>https://www.wto.org/english/res_e/publications_e/ai17_e/anti_dumping_e.htm</w:t>
        </w:r>
      </w:hyperlink>
    </w:p>
  </w:footnote>
  <w:footnote w:id="9">
    <w:p w14:paraId="386C7FDB" w14:textId="732AC7BB" w:rsidR="00BA617B" w:rsidRPr="00014FF1" w:rsidRDefault="00BA617B" w:rsidP="00BA617B">
      <w:pPr>
        <w:pStyle w:val="FootnoteText"/>
        <w:rPr>
          <w:lang w:val="en-US"/>
        </w:rPr>
      </w:pPr>
      <w:r>
        <w:rPr>
          <w:rStyle w:val="FootnoteReference"/>
        </w:rPr>
        <w:footnoteRef/>
      </w:r>
      <w:r>
        <w:t xml:space="preserve"> </w:t>
      </w:r>
      <w:hyperlink r:id="rId8" w:history="1">
        <w:r w:rsidR="00E43726">
          <w:rPr>
            <w:rStyle w:val="Hyperlink"/>
          </w:rPr>
          <w:t>https://eur-lex.europa.eu/legal-content/EN/TXT/?uri=CELEX:32016R1037</w:t>
        </w:r>
      </w:hyperlink>
    </w:p>
  </w:footnote>
  <w:footnote w:id="10">
    <w:p w14:paraId="702A9A05" w14:textId="77777777" w:rsidR="00710242" w:rsidRPr="007B341C" w:rsidRDefault="00710242" w:rsidP="00710242">
      <w:pPr>
        <w:pStyle w:val="FootnoteText"/>
        <w:rPr>
          <w:lang w:val="en-US"/>
        </w:rPr>
      </w:pPr>
      <w:r>
        <w:rPr>
          <w:rStyle w:val="FootnoteReference"/>
        </w:rPr>
        <w:footnoteRef/>
      </w:r>
      <w:r>
        <w:t xml:space="preserve"> </w:t>
      </w:r>
      <w:hyperlink r:id="rId9" w:history="1">
        <w:r>
          <w:rPr>
            <w:rStyle w:val="Hyperlink"/>
          </w:rPr>
          <w:t>https://eur-lex.europa.eu/legal-content/EN/TXT/?uri=CELEX:32017R2321</w:t>
        </w:r>
      </w:hyperlink>
    </w:p>
  </w:footnote>
  <w:footnote w:id="11">
    <w:p w14:paraId="1F2AF529" w14:textId="77777777" w:rsidR="00EA3920" w:rsidRPr="00624DFE" w:rsidRDefault="00EA3920" w:rsidP="00EA3920">
      <w:pPr>
        <w:pStyle w:val="FootnoteText"/>
        <w:rPr>
          <w:lang w:val="en-US"/>
        </w:rPr>
      </w:pPr>
      <w:r>
        <w:rPr>
          <w:rStyle w:val="FootnoteReference"/>
        </w:rPr>
        <w:footnoteRef/>
      </w:r>
      <w:r>
        <w:t xml:space="preserve"> </w:t>
      </w:r>
      <w:hyperlink r:id="rId10" w:history="1">
        <w:r>
          <w:rPr>
            <w:rStyle w:val="Hyperlink"/>
          </w:rPr>
          <w:t>https://eur-lex.europa.eu/legal-content/EN/TXT/?uri=celex:32018R0825</w:t>
        </w:r>
      </w:hyperlink>
    </w:p>
  </w:footnote>
  <w:footnote w:id="12">
    <w:p w14:paraId="6B05C6A2" w14:textId="42B42D01" w:rsidR="00CA30DC" w:rsidRPr="00CA30DC" w:rsidRDefault="00CA30DC">
      <w:pPr>
        <w:pStyle w:val="FootnoteText"/>
        <w:rPr>
          <w:lang w:val="en-US"/>
        </w:rPr>
      </w:pPr>
      <w:r>
        <w:rPr>
          <w:rStyle w:val="FootnoteReference"/>
        </w:rPr>
        <w:footnoteRef/>
      </w:r>
      <w:r>
        <w:t xml:space="preserve"> </w:t>
      </w:r>
      <w:hyperlink r:id="rId11" w:history="1">
        <w:r w:rsidR="009E4696">
          <w:rPr>
            <w:rStyle w:val="Hyperlink"/>
          </w:rPr>
          <w:t>https://www.wto.org/english/res_e/publications_e/ai17_e/subsidies_e.htm</w:t>
        </w:r>
      </w:hyperlink>
    </w:p>
  </w:footnote>
  <w:footnote w:id="13">
    <w:p w14:paraId="308BF8B6" w14:textId="467438B0" w:rsidR="00AB3281" w:rsidRPr="00AB3281" w:rsidRDefault="00AB3281">
      <w:pPr>
        <w:pStyle w:val="FootnoteText"/>
        <w:rPr>
          <w:lang w:val="en-US"/>
        </w:rPr>
      </w:pPr>
      <w:r>
        <w:rPr>
          <w:rStyle w:val="FootnoteReference"/>
        </w:rPr>
        <w:footnoteRef/>
      </w:r>
      <w:r>
        <w:t xml:space="preserve"> </w:t>
      </w:r>
      <w:hyperlink r:id="rId12" w:history="1">
        <w:r w:rsidR="002A2677">
          <w:rPr>
            <w:rStyle w:val="Hyperlink"/>
          </w:rPr>
          <w:t>https://eur-lex.europa.eu/legal-content/EN/TXT/?uri=CELEX%3A32015R0478</w:t>
        </w:r>
      </w:hyperlink>
    </w:p>
  </w:footnote>
  <w:footnote w:id="14">
    <w:p w14:paraId="248AB553" w14:textId="07816400" w:rsidR="00AB3281" w:rsidRPr="00AB3281" w:rsidRDefault="00AB3281">
      <w:pPr>
        <w:pStyle w:val="FootnoteText"/>
        <w:rPr>
          <w:lang w:val="en-US"/>
        </w:rPr>
      </w:pPr>
      <w:r>
        <w:rPr>
          <w:rStyle w:val="FootnoteReference"/>
        </w:rPr>
        <w:footnoteRef/>
      </w:r>
      <w:r>
        <w:t xml:space="preserve"> </w:t>
      </w:r>
      <w:hyperlink r:id="rId13" w:history="1">
        <w:r w:rsidR="00B57F5F">
          <w:rPr>
            <w:rStyle w:val="Hyperlink"/>
          </w:rPr>
          <w:t>https://eur-lex.europa.eu/legal-content/EN/TXT/?uri=CELEX%3A32015R0755</w:t>
        </w:r>
      </w:hyperlink>
      <w:r w:rsidR="00B57F5F">
        <w:t xml:space="preserve">. </w:t>
      </w:r>
      <w:r w:rsidR="00691B92">
        <w:t>Theo Quy định 2017/749 ngày 24/02/2017</w:t>
      </w:r>
      <w:r w:rsidR="00264FEB">
        <w:t xml:space="preserve">, Kazakhstan đã bị loại khỏi danh sách các quốc gia được điều chỉnh bởi </w:t>
      </w:r>
      <w:r w:rsidR="00264FEB">
        <w:rPr>
          <w:color w:val="000000" w:themeColor="text1"/>
          <w:lang w:eastAsia="nl-BE"/>
        </w:rPr>
        <w:t xml:space="preserve">Quy định 2015/755 ngày 29/04/2015 </w:t>
      </w:r>
      <w:r w:rsidR="006B78E7">
        <w:rPr>
          <w:color w:val="000000" w:themeColor="text1"/>
          <w:lang w:eastAsia="nl-BE"/>
        </w:rPr>
        <w:t>(</w:t>
      </w:r>
      <w:hyperlink r:id="rId14" w:history="1">
        <w:r w:rsidR="006B78E7">
          <w:rPr>
            <w:rStyle w:val="Hyperlink"/>
          </w:rPr>
          <w:t>https://eur-lex.europa.eu/legal-content/EN/TXT/?uri=celex:32017R0749</w:t>
        </w:r>
      </w:hyperlink>
      <w:r w:rsidR="006B78E7">
        <w:t>)</w:t>
      </w:r>
    </w:p>
  </w:footnote>
  <w:footnote w:id="15">
    <w:p w14:paraId="6585C4E1" w14:textId="6225437A" w:rsidR="00664FEB" w:rsidRPr="00664FEB" w:rsidRDefault="00664FEB">
      <w:pPr>
        <w:pStyle w:val="FootnoteText"/>
        <w:rPr>
          <w:lang w:val="en-US"/>
        </w:rPr>
      </w:pPr>
      <w:r>
        <w:rPr>
          <w:rStyle w:val="FootnoteReference"/>
        </w:rPr>
        <w:footnoteRef/>
      </w:r>
      <w:r>
        <w:t xml:space="preserve"> </w:t>
      </w:r>
      <w:hyperlink r:id="rId15" w:history="1">
        <w:r>
          <w:rPr>
            <w:rStyle w:val="Hyperlink"/>
          </w:rPr>
          <w:t>https://www.wto.org/english/res_e/publications_e/ai17_e/safeguards_e.htm</w:t>
        </w:r>
      </w:hyperlink>
    </w:p>
  </w:footnote>
  <w:footnote w:id="16">
    <w:p w14:paraId="160DDA1E" w14:textId="45973F86" w:rsidR="00F904D0" w:rsidRPr="00F904D0" w:rsidRDefault="00F904D0">
      <w:pPr>
        <w:pStyle w:val="FootnoteText"/>
        <w:rPr>
          <w:lang w:val="en-US"/>
        </w:rPr>
      </w:pPr>
      <w:r>
        <w:rPr>
          <w:rStyle w:val="FootnoteReference"/>
        </w:rPr>
        <w:footnoteRef/>
      </w:r>
      <w:r>
        <w:t xml:space="preserve"> </w:t>
      </w:r>
      <w:hyperlink r:id="rId16" w:history="1">
        <w:r>
          <w:rPr>
            <w:rStyle w:val="Hyperlink"/>
          </w:rPr>
          <w:t>https://ec.europa.eu/info/law/law-topic/consumers/consumer-contract-law/consumer-rights-directive_en</w:t>
        </w:r>
      </w:hyperlink>
    </w:p>
  </w:footnote>
  <w:footnote w:id="17">
    <w:p w14:paraId="749034B8" w14:textId="474ED817" w:rsidR="00667AB1" w:rsidRPr="00667AB1" w:rsidRDefault="00667AB1">
      <w:pPr>
        <w:pStyle w:val="FootnoteText"/>
        <w:rPr>
          <w:lang w:val="en-US"/>
        </w:rPr>
      </w:pPr>
      <w:r>
        <w:rPr>
          <w:rStyle w:val="FootnoteReference"/>
        </w:rPr>
        <w:footnoteRef/>
      </w:r>
      <w:r>
        <w:t xml:space="preserve"> </w:t>
      </w:r>
      <w:hyperlink r:id="rId17" w:history="1">
        <w:r>
          <w:rPr>
            <w:rStyle w:val="Hyperlink"/>
          </w:rPr>
          <w:t>https://eur-lex.europa.eu/eli/dir/2011/83/oj</w:t>
        </w:r>
      </w:hyperlink>
    </w:p>
  </w:footnote>
  <w:footnote w:id="18">
    <w:p w14:paraId="54335B2F" w14:textId="6E289A96" w:rsidR="00E67C38" w:rsidRPr="00E67C38" w:rsidRDefault="00E67C38">
      <w:pPr>
        <w:pStyle w:val="FootnoteText"/>
        <w:rPr>
          <w:lang w:val="en-US"/>
        </w:rPr>
      </w:pPr>
      <w:r>
        <w:rPr>
          <w:rStyle w:val="FootnoteReference"/>
        </w:rPr>
        <w:footnoteRef/>
      </w:r>
      <w:r>
        <w:t xml:space="preserve"> </w:t>
      </w:r>
      <w:hyperlink r:id="rId18" w:history="1">
        <w:r>
          <w:rPr>
            <w:rStyle w:val="Hyperlink"/>
          </w:rPr>
          <w:t>https://eur-lex.europa.eu/legal-content/EN/TXT/?uri=celex:32015L2302</w:t>
        </w:r>
      </w:hyperlink>
    </w:p>
  </w:footnote>
  <w:footnote w:id="19">
    <w:p w14:paraId="7E8A52D3" w14:textId="7A4AE269" w:rsidR="00910712" w:rsidRPr="00910712" w:rsidRDefault="00910712">
      <w:pPr>
        <w:pStyle w:val="FootnoteText"/>
        <w:rPr>
          <w:lang w:val="en-US"/>
        </w:rPr>
      </w:pPr>
      <w:r>
        <w:rPr>
          <w:rStyle w:val="FootnoteReference"/>
        </w:rPr>
        <w:footnoteRef/>
      </w:r>
      <w:r>
        <w:t xml:space="preserve"> </w:t>
      </w:r>
      <w:hyperlink r:id="rId19" w:history="1">
        <w:r w:rsidR="009443F9">
          <w:rPr>
            <w:rStyle w:val="Hyperlink"/>
          </w:rPr>
          <w:t>https://eur-lex.europa.eu/eli/dir/2019/2161/oj</w:t>
        </w:r>
      </w:hyperlink>
    </w:p>
  </w:footnote>
  <w:footnote w:id="20">
    <w:p w14:paraId="439D6D7E" w14:textId="1580CA3F" w:rsidR="0005348F" w:rsidRPr="0005348F" w:rsidRDefault="0005348F">
      <w:pPr>
        <w:pStyle w:val="FootnoteText"/>
        <w:rPr>
          <w:lang w:val="en-US"/>
        </w:rPr>
      </w:pPr>
      <w:r>
        <w:rPr>
          <w:rStyle w:val="FootnoteReference"/>
        </w:rPr>
        <w:footnoteRef/>
      </w:r>
      <w:r>
        <w:t xml:space="preserve"> </w:t>
      </w:r>
      <w:hyperlink r:id="rId20" w:history="1">
        <w:r>
          <w:rPr>
            <w:rStyle w:val="Hyperlink"/>
          </w:rPr>
          <w:t>https://eur-lex.europa.eu/legal-content/EN/TXT/?qid=1573718927782&amp;uri=CELEX%3A52018DC0183</w:t>
        </w:r>
      </w:hyperlink>
      <w:r w:rsidR="00A61E09">
        <w:t xml:space="preserve">. Chương trình hành động này nhằm mục đích </w:t>
      </w:r>
      <w:r w:rsidR="004E1596">
        <w:t xml:space="preserve">thực thi mạnh mẽ hơn các quy định của luật bảo vệ người tiêu dùng của EU trong bối cảnh các rủi ro </w:t>
      </w:r>
      <w:r w:rsidR="00F57729">
        <w:t>vi phạm luật này đang tăng cao và hiện đại hóa pháp luật bảo vệ người tiêu dùng của EU để phù hợp với sự phát triển của thị trường</w:t>
      </w:r>
      <w:r w:rsidR="00C84485">
        <w:t xml:space="preserve">. </w:t>
      </w:r>
    </w:p>
  </w:footnote>
  <w:footnote w:id="21">
    <w:p w14:paraId="49905621" w14:textId="103330C1" w:rsidR="00BE35C0" w:rsidRPr="002A7162" w:rsidRDefault="00BE35C0">
      <w:pPr>
        <w:pStyle w:val="FootnoteText"/>
        <w:rPr>
          <w:lang w:val="fr-BE"/>
        </w:rPr>
      </w:pPr>
      <w:r>
        <w:rPr>
          <w:rStyle w:val="FootnoteReference"/>
        </w:rPr>
        <w:footnoteRef/>
      </w:r>
      <w:r w:rsidRPr="002A7162">
        <w:rPr>
          <w:lang w:val="fr-BE"/>
        </w:rPr>
        <w:t xml:space="preserve"> </w:t>
      </w:r>
      <w:hyperlink r:id="rId21" w:history="1">
        <w:r w:rsidR="00EA7E90" w:rsidRPr="002A7162">
          <w:rPr>
            <w:rStyle w:val="Hyperlink"/>
            <w:lang w:val="fr-BE"/>
          </w:rPr>
          <w:t>https://ec.europa.eu/info/publications/factsheets-explaining-new-deal-consumers_en</w:t>
        </w:r>
      </w:hyperlink>
      <w:r w:rsidR="008F4B56" w:rsidRPr="002A7162">
        <w:rPr>
          <w:lang w:val="fr-BE"/>
        </w:rPr>
        <w:t xml:space="preserve"> và </w:t>
      </w:r>
      <w:hyperlink r:id="rId22" w:history="1">
        <w:r w:rsidR="008F4B56" w:rsidRPr="002A7162">
          <w:rPr>
            <w:rStyle w:val="Hyperlink"/>
            <w:lang w:val="fr-BE"/>
          </w:rPr>
          <w:t>https://ec.europa.eu/commission/presscorner/detail/en/MEMO_18_2821</w:t>
        </w:r>
      </w:hyperlink>
    </w:p>
  </w:footnote>
  <w:footnote w:id="22">
    <w:p w14:paraId="617CC5D4" w14:textId="046BE80C" w:rsidR="00E1574A" w:rsidRPr="002A7162" w:rsidRDefault="00E1574A">
      <w:pPr>
        <w:pStyle w:val="FootnoteText"/>
        <w:rPr>
          <w:lang w:val="fr-BE"/>
        </w:rPr>
      </w:pPr>
      <w:r>
        <w:rPr>
          <w:rStyle w:val="FootnoteReference"/>
        </w:rPr>
        <w:footnoteRef/>
      </w:r>
      <w:r w:rsidRPr="002A7162">
        <w:rPr>
          <w:lang w:val="fr-BE"/>
        </w:rPr>
        <w:t xml:space="preserve"> </w:t>
      </w:r>
      <w:hyperlink r:id="rId23" w:history="1">
        <w:r w:rsidRPr="002A7162">
          <w:rPr>
            <w:rStyle w:val="Hyperlink"/>
            <w:lang w:val="fr-BE"/>
          </w:rPr>
          <w:t>https://ec.europa.eu/info/law/law-topic/consumers/unfair-commercial-practices-law/unfair-commercial-practices-directive_en</w:t>
        </w:r>
      </w:hyperlink>
    </w:p>
  </w:footnote>
  <w:footnote w:id="23">
    <w:p w14:paraId="07BF1E59" w14:textId="52AD2B8B" w:rsidR="0071041A" w:rsidRPr="002A7162" w:rsidRDefault="0071041A">
      <w:pPr>
        <w:pStyle w:val="FootnoteText"/>
        <w:rPr>
          <w:lang w:val="fr-BE"/>
        </w:rPr>
      </w:pPr>
      <w:r>
        <w:rPr>
          <w:rStyle w:val="FootnoteReference"/>
        </w:rPr>
        <w:footnoteRef/>
      </w:r>
      <w:r w:rsidRPr="002A7162">
        <w:rPr>
          <w:lang w:val="fr-BE"/>
        </w:rPr>
        <w:t xml:space="preserve"> </w:t>
      </w:r>
      <w:hyperlink r:id="rId24" w:history="1">
        <w:r w:rsidRPr="002A7162">
          <w:rPr>
            <w:rStyle w:val="Hyperlink"/>
            <w:lang w:val="fr-BE"/>
          </w:rPr>
          <w:t>https://eur-lex.europa.eu/legal-content/EN/TXT/?uri=celex%3A32005L0029</w:t>
        </w:r>
      </w:hyperlink>
    </w:p>
  </w:footnote>
  <w:footnote w:id="24">
    <w:p w14:paraId="488FAACF" w14:textId="23B2A33D" w:rsidR="00643FD6" w:rsidRPr="002A7162" w:rsidRDefault="00643FD6">
      <w:pPr>
        <w:pStyle w:val="FootnoteText"/>
        <w:rPr>
          <w:lang w:val="fr-BE"/>
        </w:rPr>
      </w:pPr>
      <w:r>
        <w:rPr>
          <w:rStyle w:val="FootnoteReference"/>
        </w:rPr>
        <w:footnoteRef/>
      </w:r>
      <w:r w:rsidRPr="002A7162">
        <w:rPr>
          <w:lang w:val="fr-BE"/>
        </w:rPr>
        <w:t xml:space="preserve"> </w:t>
      </w:r>
      <w:hyperlink r:id="rId25" w:history="1">
        <w:r w:rsidR="00254D56" w:rsidRPr="002A7162">
          <w:rPr>
            <w:rStyle w:val="Hyperlink"/>
            <w:lang w:val="fr-BE"/>
          </w:rPr>
          <w:t>https://eur-lex.europa.eu/legal-content/EN/TXT/?uri=CELEX%3A52016SC0163</w:t>
        </w:r>
      </w:hyperlink>
    </w:p>
  </w:footnote>
  <w:footnote w:id="25">
    <w:p w14:paraId="052FD038" w14:textId="56B6B229" w:rsidR="00AC78D5" w:rsidRPr="002A7162" w:rsidRDefault="00AC78D5">
      <w:pPr>
        <w:pStyle w:val="FootnoteText"/>
        <w:rPr>
          <w:lang w:val="fr-BE"/>
        </w:rPr>
      </w:pPr>
      <w:r>
        <w:rPr>
          <w:rStyle w:val="FootnoteReference"/>
        </w:rPr>
        <w:footnoteRef/>
      </w:r>
      <w:r w:rsidRPr="002A7162">
        <w:rPr>
          <w:lang w:val="fr-BE"/>
        </w:rPr>
        <w:t xml:space="preserve"> </w:t>
      </w:r>
      <w:hyperlink r:id="rId26" w:history="1">
        <w:r w:rsidRPr="002A7162">
          <w:rPr>
            <w:rStyle w:val="Hyperlink"/>
            <w:lang w:val="fr-BE"/>
          </w:rPr>
          <w:t>https://europa.eu/youreurope/citizens/consumers/unfair-treatment/unfair-commercial-practices/index_en.htm</w:t>
        </w:r>
      </w:hyperlink>
    </w:p>
  </w:footnote>
  <w:footnote w:id="26">
    <w:p w14:paraId="25CF2BEA" w14:textId="7D254296" w:rsidR="00472CDD" w:rsidRPr="002A7162" w:rsidRDefault="00472CDD">
      <w:pPr>
        <w:pStyle w:val="FootnoteText"/>
        <w:rPr>
          <w:lang w:val="fr-BE"/>
        </w:rPr>
      </w:pPr>
      <w:r>
        <w:rPr>
          <w:rStyle w:val="FootnoteReference"/>
        </w:rPr>
        <w:footnoteRef/>
      </w:r>
      <w:r w:rsidRPr="002A7162">
        <w:rPr>
          <w:lang w:val="fr-BE"/>
        </w:rPr>
        <w:t xml:space="preserve"> </w:t>
      </w:r>
      <w:hyperlink r:id="rId27" w:history="1">
        <w:r w:rsidRPr="002A7162">
          <w:rPr>
            <w:rStyle w:val="Hyperlink"/>
            <w:lang w:val="fr-BE"/>
          </w:rPr>
          <w:t>https://ec.europa.eu/info/law/law-topic/consumers/consumer-contract-law/unfair-contract-terms-directive_en</w:t>
        </w:r>
      </w:hyperlink>
    </w:p>
  </w:footnote>
  <w:footnote w:id="27">
    <w:p w14:paraId="7F70462C" w14:textId="3F19E793" w:rsidR="00DC11E2" w:rsidRPr="002A7162" w:rsidRDefault="00DC11E2">
      <w:pPr>
        <w:pStyle w:val="FootnoteText"/>
        <w:rPr>
          <w:lang w:val="fr-BE"/>
        </w:rPr>
      </w:pPr>
      <w:r>
        <w:rPr>
          <w:rStyle w:val="FootnoteReference"/>
        </w:rPr>
        <w:footnoteRef/>
      </w:r>
      <w:r w:rsidRPr="002A7162">
        <w:rPr>
          <w:lang w:val="fr-BE"/>
        </w:rPr>
        <w:t xml:space="preserve"> </w:t>
      </w:r>
      <w:hyperlink r:id="rId28" w:history="1">
        <w:r w:rsidR="002E5DEE" w:rsidRPr="002A7162">
          <w:rPr>
            <w:rStyle w:val="Hyperlink"/>
            <w:lang w:val="fr-BE"/>
          </w:rPr>
          <w:t>https://eur-lex.europa.eu/legal-content/EN/TXT/?uri=celex%3A31993L0013</w:t>
        </w:r>
      </w:hyperlink>
    </w:p>
  </w:footnote>
  <w:footnote w:id="28">
    <w:p w14:paraId="5A83D481" w14:textId="15DC4054" w:rsidR="002A58D1" w:rsidRPr="002A7162" w:rsidRDefault="002A58D1">
      <w:pPr>
        <w:pStyle w:val="FootnoteText"/>
        <w:rPr>
          <w:lang w:val="fr-BE"/>
        </w:rPr>
      </w:pPr>
      <w:r>
        <w:rPr>
          <w:rStyle w:val="FootnoteReference"/>
        </w:rPr>
        <w:footnoteRef/>
      </w:r>
      <w:r w:rsidRPr="002A7162">
        <w:rPr>
          <w:lang w:val="fr-BE"/>
        </w:rPr>
        <w:t xml:space="preserve"> </w:t>
      </w:r>
      <w:hyperlink r:id="rId29" w:history="1">
        <w:r w:rsidR="008B20B9" w:rsidRPr="002A7162">
          <w:rPr>
            <w:rStyle w:val="Hyperlink"/>
            <w:lang w:val="fr-BE"/>
          </w:rPr>
          <w:t>https://eur-lex.europa.eu/legal-content/EN/TXT/?uri=uriserv:OJ.C_.2019.323.01.0004.01.ENG&amp;toc=OJ:C:2019:323:TOC</w:t>
        </w:r>
      </w:hyperlink>
    </w:p>
  </w:footnote>
  <w:footnote w:id="29">
    <w:p w14:paraId="2EE78C3B" w14:textId="17FAD5AD" w:rsidR="00EA0F5F" w:rsidRPr="002A7162" w:rsidRDefault="00EA0F5F">
      <w:pPr>
        <w:pStyle w:val="FootnoteText"/>
        <w:rPr>
          <w:lang w:val="fr-BE"/>
        </w:rPr>
      </w:pPr>
      <w:r>
        <w:rPr>
          <w:rStyle w:val="FootnoteReference"/>
        </w:rPr>
        <w:footnoteRef/>
      </w:r>
      <w:r w:rsidRPr="002A7162">
        <w:rPr>
          <w:lang w:val="fr-BE"/>
        </w:rPr>
        <w:t xml:space="preserve"> </w:t>
      </w:r>
      <w:hyperlink r:id="rId30" w:history="1">
        <w:r w:rsidRPr="002A7162">
          <w:rPr>
            <w:rStyle w:val="Hyperlink"/>
            <w:lang w:val="fr-BE"/>
          </w:rPr>
          <w:t>https://europa.eu/youreurope/citizens/consumers/unfair-treatment/unfair-contract-terms/index_en.htm</w:t>
        </w:r>
      </w:hyperlink>
    </w:p>
  </w:footnote>
  <w:footnote w:id="30">
    <w:p w14:paraId="35050300" w14:textId="27A826D2" w:rsidR="00160D6E" w:rsidRPr="002A7162" w:rsidRDefault="00160D6E">
      <w:pPr>
        <w:pStyle w:val="FootnoteText"/>
        <w:rPr>
          <w:lang w:val="fr-BE"/>
        </w:rPr>
      </w:pPr>
      <w:r>
        <w:rPr>
          <w:rStyle w:val="FootnoteReference"/>
        </w:rPr>
        <w:footnoteRef/>
      </w:r>
      <w:r w:rsidRPr="002A7162">
        <w:rPr>
          <w:lang w:val="fr-BE"/>
        </w:rPr>
        <w:t xml:space="preserve"> </w:t>
      </w:r>
      <w:hyperlink r:id="rId31" w:history="1">
        <w:r w:rsidR="00E96B88" w:rsidRPr="002A7162">
          <w:rPr>
            <w:rStyle w:val="Hyperlink"/>
            <w:lang w:val="fr-BE"/>
          </w:rPr>
          <w:t>https://ec.europa.eu/info/law/law-topic/consumers/review-eu-consumer-law-new-deal-consumers_en</w:t>
        </w:r>
      </w:hyperlink>
      <w:r w:rsidR="00862D55" w:rsidRPr="002A7162">
        <w:rPr>
          <w:lang w:val="fr-BE"/>
        </w:rPr>
        <w:t xml:space="preserve"> và </w:t>
      </w:r>
      <w:hyperlink r:id="rId32" w:history="1">
        <w:r w:rsidR="00862D55" w:rsidRPr="002A7162">
          <w:rPr>
            <w:rStyle w:val="Hyperlink"/>
            <w:lang w:val="fr-BE"/>
          </w:rPr>
          <w:t>https://ec.europa.eu/info/node/4235/_en</w:t>
        </w:r>
      </w:hyperlink>
    </w:p>
  </w:footnote>
  <w:footnote w:id="31">
    <w:p w14:paraId="61DDD472" w14:textId="45759683" w:rsidR="00C740F4" w:rsidRPr="002A7162" w:rsidRDefault="00C740F4">
      <w:pPr>
        <w:pStyle w:val="FootnoteText"/>
        <w:rPr>
          <w:lang w:val="fr-BE"/>
        </w:rPr>
      </w:pPr>
      <w:r>
        <w:rPr>
          <w:rStyle w:val="FootnoteReference"/>
        </w:rPr>
        <w:footnoteRef/>
      </w:r>
      <w:r w:rsidRPr="002A7162">
        <w:rPr>
          <w:lang w:val="fr-BE"/>
        </w:rPr>
        <w:t xml:space="preserve"> </w:t>
      </w:r>
      <w:hyperlink r:id="rId33" w:history="1">
        <w:r w:rsidRPr="002A7162">
          <w:rPr>
            <w:rStyle w:val="Hyperlink"/>
            <w:lang w:val="fr-BE"/>
          </w:rPr>
          <w:t>https://eur-lex.europa.eu/legal-content/EN/TXT/?uri=CELEX:02009L0022-20181203</w:t>
        </w:r>
      </w:hyperlink>
    </w:p>
  </w:footnote>
  <w:footnote w:id="32">
    <w:p w14:paraId="6897BB92" w14:textId="79AAA722" w:rsidR="00ED360A" w:rsidRPr="002A7162" w:rsidRDefault="00ED360A">
      <w:pPr>
        <w:pStyle w:val="FootnoteText"/>
        <w:rPr>
          <w:lang w:val="fr-BE"/>
        </w:rPr>
      </w:pPr>
      <w:r>
        <w:rPr>
          <w:rStyle w:val="FootnoteReference"/>
        </w:rPr>
        <w:footnoteRef/>
      </w:r>
      <w:r w:rsidRPr="002A7162">
        <w:rPr>
          <w:lang w:val="fr-BE"/>
        </w:rPr>
        <w:t xml:space="preserve"> </w:t>
      </w:r>
      <w:hyperlink r:id="rId34" w:history="1">
        <w:r w:rsidR="009956FA" w:rsidRPr="002A7162">
          <w:rPr>
            <w:rStyle w:val="Hyperlink"/>
            <w:lang w:val="fr-BE"/>
          </w:rPr>
          <w:t>https://eur-lex.europa.eu/legal-content/EN/TXT/?qid=1566981122104&amp;uri=CELEX:52019XC0715(01)</w:t>
        </w:r>
      </w:hyperlink>
    </w:p>
  </w:footnote>
  <w:footnote w:id="33">
    <w:p w14:paraId="7B8F3B06" w14:textId="7364C49B" w:rsidR="00A7156C" w:rsidRPr="002A7162" w:rsidRDefault="00A7156C">
      <w:pPr>
        <w:pStyle w:val="FootnoteText"/>
        <w:rPr>
          <w:lang w:val="fr-BE"/>
        </w:rPr>
      </w:pPr>
      <w:r>
        <w:rPr>
          <w:rStyle w:val="FootnoteReference"/>
        </w:rPr>
        <w:footnoteRef/>
      </w:r>
      <w:r w:rsidRPr="002A7162">
        <w:rPr>
          <w:lang w:val="fr-BE"/>
        </w:rPr>
        <w:t xml:space="preserve"> </w:t>
      </w:r>
      <w:hyperlink r:id="rId35" w:history="1">
        <w:r w:rsidRPr="002A7162">
          <w:rPr>
            <w:rStyle w:val="Hyperlink"/>
            <w:lang w:val="fr-BE"/>
          </w:rPr>
          <w:t>https://ec.europa.eu/info/law/law-topic/consumers/consumer-contract-law/price-indication-directive_en</w:t>
        </w:r>
      </w:hyperlink>
    </w:p>
  </w:footnote>
  <w:footnote w:id="34">
    <w:p w14:paraId="26076962" w14:textId="4B72AF1F" w:rsidR="00C979CF" w:rsidRPr="002A7162" w:rsidRDefault="00C979CF">
      <w:pPr>
        <w:pStyle w:val="FootnoteText"/>
        <w:rPr>
          <w:lang w:val="fr-BE"/>
        </w:rPr>
      </w:pPr>
      <w:r>
        <w:rPr>
          <w:rStyle w:val="FootnoteReference"/>
        </w:rPr>
        <w:footnoteRef/>
      </w:r>
      <w:r w:rsidRPr="002A7162">
        <w:rPr>
          <w:lang w:val="fr-BE"/>
        </w:rPr>
        <w:t xml:space="preserve"> </w:t>
      </w:r>
      <w:hyperlink r:id="rId36" w:history="1">
        <w:r w:rsidRPr="002A7162">
          <w:rPr>
            <w:rStyle w:val="Hyperlink"/>
            <w:lang w:val="fr-BE"/>
          </w:rPr>
          <w:t>https://eur-lex.europa.eu/eli/dir/1998/6/oj</w:t>
        </w:r>
      </w:hyperlink>
    </w:p>
  </w:footnote>
  <w:footnote w:id="35">
    <w:p w14:paraId="111AEE03" w14:textId="6D911FF9" w:rsidR="001C7757" w:rsidRPr="002A7162" w:rsidRDefault="001C7757">
      <w:pPr>
        <w:pStyle w:val="FootnoteText"/>
        <w:rPr>
          <w:lang w:val="fr-BE"/>
        </w:rPr>
      </w:pPr>
      <w:r>
        <w:rPr>
          <w:rStyle w:val="FootnoteReference"/>
        </w:rPr>
        <w:footnoteRef/>
      </w:r>
      <w:r w:rsidRPr="002A7162">
        <w:rPr>
          <w:lang w:val="fr-BE"/>
        </w:rPr>
        <w:t xml:space="preserve"> </w:t>
      </w:r>
      <w:hyperlink r:id="rId37" w:history="1">
        <w:r w:rsidRPr="002A7162">
          <w:rPr>
            <w:rStyle w:val="Hyperlink"/>
            <w:lang w:val="fr-BE"/>
          </w:rPr>
          <w:t>https://eur-lex.europa.eu/legal-content/EN/TXT/?uri=CELEX%3A52006DC0325</w:t>
        </w:r>
      </w:hyperlink>
    </w:p>
  </w:footnote>
  <w:footnote w:id="36">
    <w:p w14:paraId="5A2C9737" w14:textId="74A72F9C" w:rsidR="00DF339F" w:rsidRPr="002A7162" w:rsidRDefault="00DF339F">
      <w:pPr>
        <w:pStyle w:val="FootnoteText"/>
        <w:rPr>
          <w:lang w:val="fr-BE"/>
        </w:rPr>
      </w:pPr>
      <w:r>
        <w:rPr>
          <w:rStyle w:val="FootnoteReference"/>
        </w:rPr>
        <w:footnoteRef/>
      </w:r>
      <w:r w:rsidRPr="002A7162">
        <w:rPr>
          <w:lang w:val="fr-BE"/>
        </w:rPr>
        <w:t xml:space="preserve"> </w:t>
      </w:r>
      <w:hyperlink r:id="rId38" w:history="1">
        <w:r w:rsidRPr="002A7162">
          <w:rPr>
            <w:rStyle w:val="Hyperlink"/>
            <w:lang w:val="fr-BE"/>
          </w:rPr>
          <w:t>https://europa.eu/youreurope/citizens/consumers/unfair-treatment/unfair-pricing/index_en.htm</w:t>
        </w:r>
      </w:hyperlink>
    </w:p>
  </w:footnote>
  <w:footnote w:id="37">
    <w:p w14:paraId="3BBC7ED3" w14:textId="737EAE49" w:rsidR="002678FE" w:rsidRPr="002A7162" w:rsidRDefault="002678FE">
      <w:pPr>
        <w:pStyle w:val="FootnoteText"/>
        <w:rPr>
          <w:lang w:val="fr-BE"/>
        </w:rPr>
      </w:pPr>
      <w:r>
        <w:rPr>
          <w:rStyle w:val="FootnoteReference"/>
        </w:rPr>
        <w:footnoteRef/>
      </w:r>
      <w:r w:rsidRPr="002A7162">
        <w:rPr>
          <w:lang w:val="fr-BE"/>
        </w:rPr>
        <w:t xml:space="preserve"> </w:t>
      </w:r>
      <w:hyperlink r:id="rId39" w:history="1">
        <w:r w:rsidRPr="002A7162">
          <w:rPr>
            <w:rStyle w:val="Hyperlink"/>
            <w:lang w:val="fr-BE"/>
          </w:rPr>
          <w:t>https://eur-lex.europa.eu/legal-content/EN/TXT/?uri=CELEX%3A01999L0044-20111212</w:t>
        </w:r>
      </w:hyperlink>
    </w:p>
  </w:footnote>
  <w:footnote w:id="38">
    <w:p w14:paraId="587066EE" w14:textId="302A0126" w:rsidR="009C12B5" w:rsidRPr="002A7162" w:rsidRDefault="009C12B5">
      <w:pPr>
        <w:pStyle w:val="FootnoteText"/>
        <w:rPr>
          <w:lang w:val="fr-BE"/>
        </w:rPr>
      </w:pPr>
      <w:r>
        <w:rPr>
          <w:rStyle w:val="FootnoteReference"/>
        </w:rPr>
        <w:footnoteRef/>
      </w:r>
      <w:r w:rsidRPr="002A7162">
        <w:rPr>
          <w:lang w:val="fr-BE"/>
        </w:rPr>
        <w:t xml:space="preserve"> </w:t>
      </w:r>
      <w:hyperlink r:id="rId40" w:history="1">
        <w:r w:rsidRPr="002A7162">
          <w:rPr>
            <w:rStyle w:val="Hyperlink"/>
            <w:lang w:val="fr-BE"/>
          </w:rPr>
          <w:t>https://eur-lex.europa.eu/legal-content/EN/TXT/?uri=uriserv:OJ.L_.2019.136.01.0028.01.ENG&amp;toc=OJ:L:2019:136:TOC</w:t>
        </w:r>
      </w:hyperlink>
      <w:r w:rsidR="003479A3" w:rsidRPr="002A7162">
        <w:rPr>
          <w:lang w:val="fr-BE"/>
        </w:rPr>
        <w:t xml:space="preserve">. </w:t>
      </w:r>
      <w:r w:rsidR="008D6EAD" w:rsidRPr="002A7162">
        <w:rPr>
          <w:lang w:val="fr-BE"/>
        </w:rPr>
        <w:t xml:space="preserve">Chỉ </w:t>
      </w:r>
      <w:r w:rsidR="008037BF" w:rsidRPr="002A7162">
        <w:rPr>
          <w:lang w:val="fr-BE"/>
        </w:rPr>
        <w:t xml:space="preserve">nội dung liên quan đến việc thay thế Chị thị 1999/44/EC mới có hiệu lực kể từ đầu năm 2022, các nội dung khác có hiệu lực </w:t>
      </w:r>
      <w:r w:rsidR="00D5222F" w:rsidRPr="002A7162">
        <w:rPr>
          <w:lang w:val="fr-BE"/>
        </w:rPr>
        <w:t xml:space="preserve">sau 20 ngày kể từ ngày công báo (như các Chỉ thị khác của EU). </w:t>
      </w:r>
      <w:r w:rsidR="003479A3" w:rsidRPr="002A7162">
        <w:rPr>
          <w:lang w:val="fr-BE"/>
        </w:rPr>
        <w:t>Các vấn đề về hợp đồng điện tử (Digital</w:t>
      </w:r>
      <w:r w:rsidR="00F40979" w:rsidRPr="002A7162">
        <w:rPr>
          <w:lang w:val="fr-BE"/>
        </w:rPr>
        <w:t xml:space="preserve"> contracts) cũng sẽ được quy định trong Chỉ thị mới này</w:t>
      </w:r>
      <w:r w:rsidR="00936EFF" w:rsidRPr="002A7162">
        <w:rPr>
          <w:lang w:val="fr-BE"/>
        </w:rPr>
        <w:t xml:space="preserve">. </w:t>
      </w:r>
      <w:r w:rsidR="00F95B55" w:rsidRPr="002A7162">
        <w:rPr>
          <w:lang w:val="fr-BE"/>
        </w:rPr>
        <w:t>Các quốc gia thành viên EU có thời hạn đến ngày 01/0</w:t>
      </w:r>
      <w:r w:rsidR="00D5222F" w:rsidRPr="002A7162">
        <w:rPr>
          <w:lang w:val="fr-BE"/>
        </w:rPr>
        <w:t>1</w:t>
      </w:r>
      <w:r w:rsidR="00F95B55" w:rsidRPr="002A7162">
        <w:rPr>
          <w:lang w:val="fr-BE"/>
        </w:rPr>
        <w:t>/202</w:t>
      </w:r>
      <w:r w:rsidR="00D5222F" w:rsidRPr="002A7162">
        <w:rPr>
          <w:lang w:val="fr-BE"/>
        </w:rPr>
        <w:t>2</w:t>
      </w:r>
      <w:r w:rsidR="005532F9" w:rsidRPr="002A7162">
        <w:rPr>
          <w:lang w:val="fr-BE"/>
        </w:rPr>
        <w:t xml:space="preserve"> để nội luật hóa và áp dụng các quy định của Chỉ thị mới</w:t>
      </w:r>
    </w:p>
  </w:footnote>
  <w:footnote w:id="39">
    <w:p w14:paraId="28DB4065" w14:textId="62E49248" w:rsidR="001128A4" w:rsidRPr="002A7162" w:rsidRDefault="001128A4">
      <w:pPr>
        <w:pStyle w:val="FootnoteText"/>
        <w:rPr>
          <w:lang w:val="fr-BE"/>
        </w:rPr>
      </w:pPr>
      <w:r>
        <w:rPr>
          <w:rStyle w:val="FootnoteReference"/>
        </w:rPr>
        <w:footnoteRef/>
      </w:r>
      <w:r w:rsidRPr="002A7162">
        <w:rPr>
          <w:lang w:val="fr-BE"/>
        </w:rPr>
        <w:t xml:space="preserve"> </w:t>
      </w:r>
      <w:hyperlink r:id="rId41" w:history="1">
        <w:r w:rsidRPr="002A7162">
          <w:rPr>
            <w:rStyle w:val="Hyperlink"/>
            <w:lang w:val="fr-BE"/>
          </w:rPr>
          <w:t>https://europa.eu/youreurope/citizens/consumers/shopping/guarantees-returns/index_en.htm</w:t>
        </w:r>
      </w:hyperlink>
    </w:p>
  </w:footnote>
  <w:footnote w:id="40">
    <w:p w14:paraId="64915D50" w14:textId="50F7837F" w:rsidR="007113FD" w:rsidRPr="002A7162" w:rsidRDefault="007113FD">
      <w:pPr>
        <w:pStyle w:val="FootnoteText"/>
        <w:rPr>
          <w:lang w:val="fr-BE"/>
        </w:rPr>
      </w:pPr>
      <w:r>
        <w:rPr>
          <w:rStyle w:val="FootnoteReference"/>
        </w:rPr>
        <w:footnoteRef/>
      </w:r>
      <w:r w:rsidRPr="002A7162">
        <w:rPr>
          <w:lang w:val="fr-BE"/>
        </w:rPr>
        <w:t xml:space="preserve"> </w:t>
      </w:r>
      <w:hyperlink r:id="rId42" w:anchor="abouttheregulation" w:history="1">
        <w:r w:rsidRPr="002A7162">
          <w:rPr>
            <w:rStyle w:val="Hyperlink"/>
            <w:lang w:val="fr-BE"/>
          </w:rPr>
          <w:t>https://ec.europa.eu/info/law/law-topic/consumers/consumer-protection-cooperation-regulation_en#abouttheregulation</w:t>
        </w:r>
      </w:hyperlink>
    </w:p>
  </w:footnote>
  <w:footnote w:id="41">
    <w:p w14:paraId="513B49F9" w14:textId="1A597285" w:rsidR="00234860" w:rsidRPr="002A7162" w:rsidRDefault="00234860">
      <w:pPr>
        <w:pStyle w:val="FootnoteText"/>
        <w:rPr>
          <w:lang w:val="fr-BE"/>
        </w:rPr>
      </w:pPr>
      <w:r>
        <w:rPr>
          <w:rStyle w:val="FootnoteReference"/>
        </w:rPr>
        <w:footnoteRef/>
      </w:r>
      <w:r w:rsidRPr="002A7162">
        <w:rPr>
          <w:lang w:val="fr-BE"/>
        </w:rPr>
        <w:t xml:space="preserve"> </w:t>
      </w:r>
      <w:hyperlink r:id="rId43" w:history="1">
        <w:r w:rsidR="000F6AE1" w:rsidRPr="002A7162">
          <w:rPr>
            <w:rStyle w:val="Hyperlink"/>
            <w:lang w:val="fr-BE"/>
          </w:rPr>
          <w:t>https://eur-lex.europa.eu/eli/reg/2017/2394/oj</w:t>
        </w:r>
      </w:hyperlink>
    </w:p>
  </w:footnote>
  <w:footnote w:id="42">
    <w:p w14:paraId="7DF22275" w14:textId="401A7686" w:rsidR="00D43380" w:rsidRPr="002A7162" w:rsidRDefault="00D43380">
      <w:pPr>
        <w:pStyle w:val="FootnoteText"/>
        <w:rPr>
          <w:lang w:val="fr-BE"/>
        </w:rPr>
      </w:pPr>
      <w:r>
        <w:rPr>
          <w:rStyle w:val="FootnoteReference"/>
        </w:rPr>
        <w:footnoteRef/>
      </w:r>
      <w:r w:rsidRPr="002A7162">
        <w:rPr>
          <w:lang w:val="fr-BE"/>
        </w:rPr>
        <w:t xml:space="preserve"> </w:t>
      </w:r>
      <w:hyperlink r:id="rId44" w:history="1">
        <w:r w:rsidRPr="002A7162">
          <w:rPr>
            <w:rStyle w:val="Hyperlink"/>
            <w:lang w:val="fr-BE"/>
          </w:rPr>
          <w:t>https://ec.europa.eu/info/live-work-travel-eu/consumers_en</w:t>
        </w:r>
      </w:hyperlink>
    </w:p>
  </w:footnote>
  <w:footnote w:id="43">
    <w:p w14:paraId="28530A75" w14:textId="0B379111" w:rsidR="008E1577" w:rsidRPr="002A7162" w:rsidRDefault="008E1577">
      <w:pPr>
        <w:pStyle w:val="FootnoteText"/>
        <w:rPr>
          <w:lang w:val="fr-BE"/>
        </w:rPr>
      </w:pPr>
      <w:r>
        <w:rPr>
          <w:rStyle w:val="FootnoteReference"/>
        </w:rPr>
        <w:footnoteRef/>
      </w:r>
      <w:r w:rsidRPr="002A7162">
        <w:rPr>
          <w:lang w:val="fr-BE"/>
        </w:rPr>
        <w:t xml:space="preserve"> </w:t>
      </w:r>
      <w:hyperlink r:id="rId45" w:history="1">
        <w:r w:rsidRPr="002A7162">
          <w:rPr>
            <w:rStyle w:val="Hyperlink"/>
            <w:lang w:val="fr-BE"/>
          </w:rPr>
          <w:t>https://ec.europa.eu/info/live-work-travel-eu/consumers/resolve-your-consumer-complaint/european-consumer-centres-network-ecc-net_en</w:t>
        </w:r>
      </w:hyperlink>
    </w:p>
  </w:footnote>
  <w:footnote w:id="44">
    <w:p w14:paraId="1D6359A5" w14:textId="6C093B6B" w:rsidR="00FA572C" w:rsidRPr="002A7162" w:rsidRDefault="00FA572C">
      <w:pPr>
        <w:pStyle w:val="FootnoteText"/>
        <w:rPr>
          <w:lang w:val="fr-BE"/>
        </w:rPr>
      </w:pPr>
      <w:r>
        <w:rPr>
          <w:rStyle w:val="FootnoteReference"/>
        </w:rPr>
        <w:footnoteRef/>
      </w:r>
      <w:r w:rsidRPr="002A7162">
        <w:rPr>
          <w:lang w:val="fr-BE"/>
        </w:rPr>
        <w:t xml:space="preserve"> </w:t>
      </w:r>
      <w:hyperlink r:id="rId46" w:history="1">
        <w:r w:rsidRPr="002A7162">
          <w:rPr>
            <w:rStyle w:val="Hyperlink"/>
            <w:lang w:val="fr-BE"/>
          </w:rPr>
          <w:t>https://eur-lex.europa.eu/legal-content/EN/TXT/?uri=celex%3A12012E%2FTXT</w:t>
        </w:r>
      </w:hyperlink>
    </w:p>
  </w:footnote>
  <w:footnote w:id="45">
    <w:p w14:paraId="4FCC9DC2" w14:textId="11E1E2F5" w:rsidR="00A07DF8" w:rsidRPr="002A7162" w:rsidRDefault="00A07DF8">
      <w:pPr>
        <w:pStyle w:val="FootnoteText"/>
        <w:rPr>
          <w:lang w:val="fr-BE"/>
        </w:rPr>
      </w:pPr>
      <w:r>
        <w:rPr>
          <w:rStyle w:val="FootnoteReference"/>
        </w:rPr>
        <w:footnoteRef/>
      </w:r>
      <w:r w:rsidRPr="002A7162">
        <w:rPr>
          <w:lang w:val="fr-BE"/>
        </w:rPr>
        <w:t xml:space="preserve"> </w:t>
      </w:r>
      <w:hyperlink r:id="rId47" w:history="1">
        <w:r w:rsidRPr="002A7162">
          <w:rPr>
            <w:rStyle w:val="Hyperlink"/>
            <w:lang w:val="fr-BE"/>
          </w:rPr>
          <w:t>https://thuvienphapluat.vn/van-ban/doanh-nghiep/Luat-canh-tranh-345182.aspx</w:t>
        </w:r>
      </w:hyperlink>
    </w:p>
  </w:footnote>
  <w:footnote w:id="46">
    <w:p w14:paraId="07FA8345" w14:textId="48A911BF" w:rsidR="0036035F" w:rsidRPr="002A7162" w:rsidRDefault="0036035F">
      <w:pPr>
        <w:pStyle w:val="FootnoteText"/>
        <w:rPr>
          <w:lang w:val="fr-BE"/>
        </w:rPr>
      </w:pPr>
      <w:r>
        <w:rPr>
          <w:rStyle w:val="FootnoteReference"/>
        </w:rPr>
        <w:footnoteRef/>
      </w:r>
      <w:r w:rsidRPr="002A7162">
        <w:rPr>
          <w:lang w:val="fr-BE"/>
        </w:rPr>
        <w:t xml:space="preserve"> </w:t>
      </w:r>
      <w:hyperlink r:id="rId48" w:history="1">
        <w:r w:rsidRPr="002A7162">
          <w:rPr>
            <w:rStyle w:val="Hyperlink"/>
            <w:lang w:val="fr-BE"/>
          </w:rPr>
          <w:t>https://eur-lex.europa.eu/legal-content/EN/TXT/?uri=CELEX:02004R0773-20150806</w:t>
        </w:r>
      </w:hyperlink>
    </w:p>
  </w:footnote>
  <w:footnote w:id="47">
    <w:p w14:paraId="6850681B" w14:textId="58AC98B5" w:rsidR="008B1BE5" w:rsidRPr="002A7162" w:rsidRDefault="008B1BE5">
      <w:pPr>
        <w:pStyle w:val="FootnoteText"/>
        <w:rPr>
          <w:lang w:val="fr-BE"/>
        </w:rPr>
      </w:pPr>
      <w:r>
        <w:rPr>
          <w:rStyle w:val="FootnoteReference"/>
        </w:rPr>
        <w:footnoteRef/>
      </w:r>
      <w:r w:rsidRPr="002A7162">
        <w:rPr>
          <w:lang w:val="fr-BE"/>
        </w:rPr>
        <w:t xml:space="preserve"> </w:t>
      </w:r>
      <w:hyperlink r:id="rId49" w:history="1">
        <w:r w:rsidRPr="002A7162">
          <w:rPr>
            <w:rStyle w:val="Hyperlink"/>
            <w:lang w:val="fr-BE"/>
          </w:rPr>
          <w:t>https://eur-lex.europa.eu/legal-content/EN/TXT/?uri=CELEX:02003R0001-20090701</w:t>
        </w:r>
      </w:hyperlink>
    </w:p>
  </w:footnote>
  <w:footnote w:id="48">
    <w:p w14:paraId="0F09CC70" w14:textId="33079599" w:rsidR="007E268F" w:rsidRPr="002A7162" w:rsidRDefault="007E268F">
      <w:pPr>
        <w:pStyle w:val="FootnoteText"/>
        <w:rPr>
          <w:lang w:val="fr-BE"/>
        </w:rPr>
      </w:pPr>
      <w:r>
        <w:rPr>
          <w:rStyle w:val="FootnoteReference"/>
        </w:rPr>
        <w:footnoteRef/>
      </w:r>
      <w:r w:rsidRPr="002A7162">
        <w:rPr>
          <w:lang w:val="fr-BE"/>
        </w:rPr>
        <w:t xml:space="preserve"> </w:t>
      </w:r>
      <w:hyperlink r:id="rId50" w:history="1">
        <w:r w:rsidRPr="002A7162">
          <w:rPr>
            <w:rStyle w:val="Hyperlink"/>
            <w:lang w:val="fr-BE"/>
          </w:rPr>
          <w:t>https://thuvienphapluat.vn/van-ban/Thuong-mai/Nghi-dinh-35-2020-ND-CP-huong-dan-Luat-Canh-tranh-398083.aspx</w:t>
        </w:r>
      </w:hyperlink>
    </w:p>
  </w:footnote>
  <w:footnote w:id="49">
    <w:p w14:paraId="397B6008" w14:textId="4514BDEF" w:rsidR="007E268F" w:rsidRPr="002A7162" w:rsidRDefault="007E268F">
      <w:pPr>
        <w:pStyle w:val="FootnoteText"/>
        <w:rPr>
          <w:lang w:val="fr-BE"/>
        </w:rPr>
      </w:pPr>
      <w:r>
        <w:rPr>
          <w:rStyle w:val="FootnoteReference"/>
        </w:rPr>
        <w:footnoteRef/>
      </w:r>
      <w:r w:rsidRPr="002A7162">
        <w:rPr>
          <w:lang w:val="fr-BE"/>
        </w:rPr>
        <w:t xml:space="preserve"> </w:t>
      </w:r>
      <w:hyperlink r:id="rId51" w:history="1">
        <w:r w:rsidR="000A6EB6" w:rsidRPr="002A7162">
          <w:rPr>
            <w:rStyle w:val="Hyperlink"/>
            <w:lang w:val="fr-BE"/>
          </w:rPr>
          <w:t>https://thuvienphapluat.vn/van-ban/Thuong-mai/Nghi-dinh-75-2019-ND-CP-quy-dinh-ve-xu-phat-vi-pham-hanh-chinh-trong-linh-vuc-canh-tranh-425023.aspx</w:t>
        </w:r>
      </w:hyperlink>
    </w:p>
  </w:footnote>
  <w:footnote w:id="50">
    <w:p w14:paraId="32EDC286" w14:textId="472B5D78" w:rsidR="00564AD3" w:rsidRPr="002A7162" w:rsidRDefault="00564AD3">
      <w:pPr>
        <w:pStyle w:val="FootnoteText"/>
        <w:rPr>
          <w:lang w:val="fr-BE"/>
        </w:rPr>
      </w:pPr>
      <w:r>
        <w:rPr>
          <w:rStyle w:val="FootnoteReference"/>
        </w:rPr>
        <w:footnoteRef/>
      </w:r>
      <w:r w:rsidRPr="002A7162">
        <w:rPr>
          <w:lang w:val="fr-BE"/>
        </w:rPr>
        <w:t xml:space="preserve"> </w:t>
      </w:r>
      <w:hyperlink r:id="rId52" w:history="1">
        <w:r w:rsidRPr="002A7162">
          <w:rPr>
            <w:rStyle w:val="Hyperlink"/>
            <w:lang w:val="fr-BE"/>
          </w:rPr>
          <w:t>https://eur-lex.europa.eu/legal-content/EN/ALL/?uri=CELEX%3A31997Y1209%2801%29</w:t>
        </w:r>
      </w:hyperlink>
    </w:p>
  </w:footnote>
  <w:footnote w:id="51">
    <w:p w14:paraId="478E5B24" w14:textId="3A4B5E50" w:rsidR="00D92BAC" w:rsidRPr="002A7162" w:rsidRDefault="00D92BAC">
      <w:pPr>
        <w:pStyle w:val="FootnoteText"/>
        <w:rPr>
          <w:lang w:val="fr-BE"/>
        </w:rPr>
      </w:pPr>
      <w:r>
        <w:rPr>
          <w:rStyle w:val="FootnoteReference"/>
        </w:rPr>
        <w:footnoteRef/>
      </w:r>
      <w:r w:rsidRPr="002A7162">
        <w:rPr>
          <w:lang w:val="fr-BE"/>
        </w:rPr>
        <w:t xml:space="preserve"> </w:t>
      </w:r>
      <w:hyperlink r:id="rId53" w:history="1">
        <w:r w:rsidRPr="002A7162">
          <w:rPr>
            <w:rStyle w:val="Hyperlink"/>
            <w:lang w:val="fr-BE"/>
          </w:rPr>
          <w:t>https://eur-lex.europa.eu/legal-content/EN/ALL/?uri=CELEX:52011XC0114(04)</w:t>
        </w:r>
      </w:hyperlink>
    </w:p>
  </w:footnote>
  <w:footnote w:id="52">
    <w:p w14:paraId="0A8DC6B7" w14:textId="02E221FD" w:rsidR="00E312E1" w:rsidRPr="002A7162" w:rsidRDefault="00E312E1" w:rsidP="00E312E1">
      <w:pPr>
        <w:pStyle w:val="FootnoteText"/>
        <w:rPr>
          <w:lang w:val="fr-BE"/>
        </w:rPr>
      </w:pPr>
      <w:r>
        <w:rPr>
          <w:rStyle w:val="FootnoteReference"/>
        </w:rPr>
        <w:footnoteRef/>
      </w:r>
      <w:r w:rsidRPr="002A7162">
        <w:rPr>
          <w:lang w:val="fr-BE"/>
        </w:rPr>
        <w:t xml:space="preserve"> </w:t>
      </w:r>
      <w:hyperlink r:id="rId54" w:history="1">
        <w:r w:rsidR="00C87A77" w:rsidRPr="002A7162">
          <w:rPr>
            <w:rStyle w:val="Hyperlink"/>
            <w:lang w:val="fr-BE"/>
          </w:rPr>
          <w:t>https://eur-lex.europa.eu/legal-content/EN/TXT/?uri=CELEX%3A52010XC0519%2804%29</w:t>
        </w:r>
      </w:hyperlink>
    </w:p>
  </w:footnote>
  <w:footnote w:id="53">
    <w:p w14:paraId="23AA0337" w14:textId="5368D6D7" w:rsidR="000E7F17" w:rsidRPr="002A7162" w:rsidRDefault="000E7F17">
      <w:pPr>
        <w:pStyle w:val="FootnoteText"/>
        <w:rPr>
          <w:lang w:val="fr-BE"/>
        </w:rPr>
      </w:pPr>
      <w:r>
        <w:rPr>
          <w:rStyle w:val="FootnoteReference"/>
        </w:rPr>
        <w:footnoteRef/>
      </w:r>
      <w:r w:rsidRPr="002A7162">
        <w:rPr>
          <w:lang w:val="fr-BE"/>
        </w:rPr>
        <w:t xml:space="preserve"> </w:t>
      </w:r>
      <w:hyperlink r:id="rId55" w:history="1">
        <w:r w:rsidRPr="002A7162">
          <w:rPr>
            <w:rStyle w:val="Hyperlink"/>
            <w:lang w:val="fr-BE"/>
          </w:rPr>
          <w:t>https://eur-lex.europa.eu/legal-content/EN/ALL/?uri=CELEX%3A32010R0330</w:t>
        </w:r>
      </w:hyperlink>
    </w:p>
  </w:footnote>
  <w:footnote w:id="54">
    <w:p w14:paraId="3284CD4B" w14:textId="3098ED64" w:rsidR="004E07E7" w:rsidRPr="002A7162" w:rsidRDefault="004E07E7">
      <w:pPr>
        <w:pStyle w:val="FootnoteText"/>
        <w:rPr>
          <w:lang w:val="fr-BE"/>
        </w:rPr>
      </w:pPr>
      <w:r>
        <w:rPr>
          <w:rStyle w:val="FootnoteReference"/>
        </w:rPr>
        <w:footnoteRef/>
      </w:r>
      <w:r w:rsidRPr="002A7162">
        <w:rPr>
          <w:lang w:val="fr-BE"/>
        </w:rPr>
        <w:t xml:space="preserve"> </w:t>
      </w:r>
      <w:hyperlink r:id="rId56" w:history="1">
        <w:r w:rsidR="00542A27" w:rsidRPr="002A7162">
          <w:rPr>
            <w:rStyle w:val="Hyperlink"/>
            <w:lang w:val="fr-BE"/>
          </w:rPr>
          <w:t>https://eur-lex.europa.eu/legal-content/EN/TXT/?uri=CELEX%3A52014XC0328%2801%29</w:t>
        </w:r>
      </w:hyperlink>
    </w:p>
  </w:footnote>
  <w:footnote w:id="55">
    <w:p w14:paraId="6626E1E2" w14:textId="77777777" w:rsidR="0082009F" w:rsidRPr="002A7162" w:rsidRDefault="0082009F" w:rsidP="0082009F">
      <w:pPr>
        <w:pStyle w:val="FootnoteText"/>
        <w:rPr>
          <w:lang w:val="fr-BE"/>
        </w:rPr>
      </w:pPr>
      <w:r>
        <w:rPr>
          <w:rStyle w:val="FootnoteReference"/>
        </w:rPr>
        <w:footnoteRef/>
      </w:r>
      <w:r w:rsidRPr="002A7162">
        <w:rPr>
          <w:lang w:val="fr-BE"/>
        </w:rPr>
        <w:t xml:space="preserve"> </w:t>
      </w:r>
      <w:hyperlink r:id="rId57" w:history="1">
        <w:r w:rsidRPr="002A7162">
          <w:rPr>
            <w:rStyle w:val="Hyperlink"/>
            <w:lang w:val="fr-BE"/>
          </w:rPr>
          <w:t>https://eur-lex.europa.eu/legal-content/EN/ALL/?uri=CELEX:32014R0316</w:t>
        </w:r>
      </w:hyperlink>
    </w:p>
  </w:footnote>
  <w:footnote w:id="56">
    <w:p w14:paraId="31A2EDC6" w14:textId="77777777" w:rsidR="008D03F4" w:rsidRPr="002A7162" w:rsidRDefault="008D03F4" w:rsidP="008D03F4">
      <w:pPr>
        <w:pStyle w:val="FootnoteText"/>
        <w:rPr>
          <w:lang w:val="fr-BE"/>
        </w:rPr>
      </w:pPr>
      <w:r>
        <w:rPr>
          <w:rStyle w:val="FootnoteReference"/>
        </w:rPr>
        <w:footnoteRef/>
      </w:r>
      <w:r w:rsidRPr="002A7162">
        <w:rPr>
          <w:lang w:val="fr-BE"/>
        </w:rPr>
        <w:t xml:space="preserve"> </w:t>
      </w:r>
      <w:hyperlink r:id="rId58" w:history="1">
        <w:r w:rsidRPr="002A7162">
          <w:rPr>
            <w:rStyle w:val="Hyperlink"/>
            <w:lang w:val="fr-BE"/>
          </w:rPr>
          <w:t>https://eur-lex.europa.eu/legal-content/EN/ALL/?uri=CELEX%3A32010R0330</w:t>
        </w:r>
      </w:hyperlink>
    </w:p>
  </w:footnote>
  <w:footnote w:id="57">
    <w:p w14:paraId="5C8EB375" w14:textId="1C830D9B" w:rsidR="00B94728" w:rsidRPr="002A7162" w:rsidRDefault="00B94728" w:rsidP="00B94728">
      <w:pPr>
        <w:pStyle w:val="FootnoteText"/>
        <w:rPr>
          <w:lang w:val="fr-BE"/>
        </w:rPr>
      </w:pPr>
      <w:r>
        <w:rPr>
          <w:rStyle w:val="FootnoteReference"/>
        </w:rPr>
        <w:footnoteRef/>
      </w:r>
      <w:r w:rsidRPr="002A7162">
        <w:rPr>
          <w:lang w:val="fr-BE"/>
        </w:rPr>
        <w:t xml:space="preserve"> </w:t>
      </w:r>
      <w:hyperlink r:id="rId59" w:history="1">
        <w:r w:rsidR="006C5BBC" w:rsidRPr="002A7162">
          <w:rPr>
            <w:rStyle w:val="Hyperlink"/>
            <w:lang w:val="fr-BE"/>
          </w:rPr>
          <w:t>https://eur-lex.europa.eu/legal-content/en/ALL/?uri=CELEX%3A32010R1218</w:t>
        </w:r>
      </w:hyperlink>
    </w:p>
  </w:footnote>
  <w:footnote w:id="58">
    <w:p w14:paraId="0126208E" w14:textId="054CEF01" w:rsidR="00CA5ABB" w:rsidRPr="002A7162" w:rsidRDefault="00CA5ABB">
      <w:pPr>
        <w:pStyle w:val="FootnoteText"/>
        <w:rPr>
          <w:lang w:val="fr-BE"/>
        </w:rPr>
      </w:pPr>
      <w:r>
        <w:rPr>
          <w:rStyle w:val="FootnoteReference"/>
        </w:rPr>
        <w:footnoteRef/>
      </w:r>
      <w:r w:rsidRPr="002A7162">
        <w:rPr>
          <w:lang w:val="fr-BE"/>
        </w:rPr>
        <w:t xml:space="preserve"> </w:t>
      </w:r>
      <w:hyperlink r:id="rId60" w:history="1">
        <w:r w:rsidR="00E102D3" w:rsidRPr="002A7162">
          <w:rPr>
            <w:rStyle w:val="Hyperlink"/>
            <w:lang w:val="fr-BE"/>
          </w:rPr>
          <w:t>https://eur-lex.europa.eu/legal-content/EN/ALL/?uri=CELEX:32004R0139</w:t>
        </w:r>
      </w:hyperlink>
    </w:p>
  </w:footnote>
  <w:footnote w:id="59">
    <w:p w14:paraId="405205BF" w14:textId="11F4B18A" w:rsidR="001F2034" w:rsidRPr="002A7162" w:rsidRDefault="001F2034">
      <w:pPr>
        <w:pStyle w:val="FootnoteText"/>
        <w:rPr>
          <w:lang w:val="fr-BE"/>
        </w:rPr>
      </w:pPr>
      <w:r>
        <w:rPr>
          <w:rStyle w:val="FootnoteReference"/>
        </w:rPr>
        <w:footnoteRef/>
      </w:r>
      <w:r w:rsidRPr="002A7162">
        <w:rPr>
          <w:lang w:val="fr-BE"/>
        </w:rPr>
        <w:t xml:space="preserve"> </w:t>
      </w:r>
      <w:hyperlink r:id="rId61" w:history="1">
        <w:r w:rsidRPr="002A7162">
          <w:rPr>
            <w:rStyle w:val="Hyperlink"/>
            <w:lang w:val="fr-BE"/>
          </w:rPr>
          <w:t>https://eur-lex.europa.eu/legal-content/EN/ALL/?uri=CELEX%3A52004XC0205%2802%29</w:t>
        </w:r>
      </w:hyperlink>
    </w:p>
  </w:footnote>
  <w:footnote w:id="60">
    <w:p w14:paraId="7C425CBE" w14:textId="31BC09F9" w:rsidR="00ED56F7" w:rsidRPr="002A7162" w:rsidRDefault="00ED56F7">
      <w:pPr>
        <w:pStyle w:val="FootnoteText"/>
        <w:rPr>
          <w:lang w:val="fr-BE"/>
        </w:rPr>
      </w:pPr>
      <w:r>
        <w:rPr>
          <w:rStyle w:val="FootnoteReference"/>
        </w:rPr>
        <w:footnoteRef/>
      </w:r>
      <w:r w:rsidRPr="002A7162">
        <w:rPr>
          <w:lang w:val="fr-BE"/>
        </w:rPr>
        <w:t xml:space="preserve"> </w:t>
      </w:r>
      <w:hyperlink r:id="rId62" w:history="1">
        <w:r w:rsidR="00B92309" w:rsidRPr="002A7162">
          <w:rPr>
            <w:rStyle w:val="Hyperlink"/>
            <w:lang w:val="fr-BE"/>
          </w:rPr>
          <w:t>https://eur-lex.europa.eu/legal-content/EN/TXT/?uri=CELEX%3A52008XC1018%2803%29</w:t>
        </w:r>
      </w:hyperlink>
    </w:p>
  </w:footnote>
  <w:footnote w:id="61">
    <w:p w14:paraId="1910333D" w14:textId="70CEADE9" w:rsidR="000E24B3" w:rsidRPr="002A7162" w:rsidRDefault="000E24B3">
      <w:pPr>
        <w:pStyle w:val="FootnoteText"/>
        <w:rPr>
          <w:lang w:val="fr-BE"/>
        </w:rPr>
      </w:pPr>
      <w:r>
        <w:rPr>
          <w:rStyle w:val="FootnoteReference"/>
        </w:rPr>
        <w:footnoteRef/>
      </w:r>
      <w:r w:rsidRPr="002A7162">
        <w:rPr>
          <w:lang w:val="fr-BE"/>
        </w:rPr>
        <w:t xml:space="preserve"> </w:t>
      </w:r>
      <w:hyperlink r:id="rId63" w:history="1">
        <w:r w:rsidR="00236BC7" w:rsidRPr="002A7162">
          <w:rPr>
            <w:rStyle w:val="Hyperlink"/>
            <w:lang w:val="fr-BE"/>
          </w:rPr>
          <w:t>https://eur-lex.europa.eu/legal-content/EN/ALL/?uri=CELEX%3A52008XC1022%2801%29</w:t>
        </w:r>
      </w:hyperlink>
    </w:p>
  </w:footnote>
  <w:footnote w:id="62">
    <w:p w14:paraId="7AD2EDC7" w14:textId="5A3CAD4F" w:rsidR="00145C15" w:rsidRPr="002A7162" w:rsidRDefault="00145C15">
      <w:pPr>
        <w:pStyle w:val="FootnoteText"/>
        <w:rPr>
          <w:lang w:val="fr-BE"/>
        </w:rPr>
      </w:pPr>
      <w:r>
        <w:rPr>
          <w:rStyle w:val="FootnoteReference"/>
        </w:rPr>
        <w:footnoteRef/>
      </w:r>
      <w:r w:rsidRPr="002A7162">
        <w:rPr>
          <w:lang w:val="fr-BE"/>
        </w:rPr>
        <w:t xml:space="preserve"> </w:t>
      </w:r>
      <w:hyperlink r:id="rId64" w:history="1">
        <w:r w:rsidRPr="002A7162">
          <w:rPr>
            <w:rStyle w:val="Hyperlink"/>
            <w:lang w:val="fr-BE"/>
          </w:rPr>
          <w:t>https://eur-lex.europa.eu/legal-content/EN/ALL/?uri=CELEX%3A52009XC0224%2801%29</w:t>
        </w:r>
      </w:hyperlink>
    </w:p>
  </w:footnote>
  <w:footnote w:id="63">
    <w:p w14:paraId="6317D1F2" w14:textId="3FD8D978" w:rsidR="00AB5412" w:rsidRPr="002A7162" w:rsidRDefault="00AB5412">
      <w:pPr>
        <w:pStyle w:val="FootnoteText"/>
        <w:rPr>
          <w:lang w:val="fr-BE"/>
        </w:rPr>
      </w:pPr>
      <w:r>
        <w:rPr>
          <w:rStyle w:val="FootnoteReference"/>
        </w:rPr>
        <w:footnoteRef/>
      </w:r>
      <w:r w:rsidRPr="002A7162">
        <w:rPr>
          <w:lang w:val="fr-BE"/>
        </w:rPr>
        <w:t xml:space="preserve"> </w:t>
      </w:r>
      <w:hyperlink r:id="rId65" w:history="1">
        <w:r w:rsidR="0076133A" w:rsidRPr="002A7162">
          <w:rPr>
            <w:rStyle w:val="Hyperlink"/>
            <w:lang w:val="fr-BE"/>
          </w:rPr>
          <w:t>https://eur-lex.europa.eu/legal-content/EN/ALL/?uri=CELEX:52006XC0901(01)</w:t>
        </w:r>
      </w:hyperlink>
    </w:p>
  </w:footnote>
  <w:footnote w:id="64">
    <w:p w14:paraId="69BC811E" w14:textId="3EBE905E" w:rsidR="00B9404E" w:rsidRPr="002A7162" w:rsidRDefault="00B9404E">
      <w:pPr>
        <w:pStyle w:val="FootnoteText"/>
        <w:rPr>
          <w:lang w:val="fr-BE"/>
        </w:rPr>
      </w:pPr>
      <w:r>
        <w:rPr>
          <w:rStyle w:val="FootnoteReference"/>
        </w:rPr>
        <w:footnoteRef/>
      </w:r>
      <w:r w:rsidRPr="002A7162">
        <w:rPr>
          <w:lang w:val="fr-BE"/>
        </w:rPr>
        <w:t xml:space="preserve"> </w:t>
      </w:r>
      <w:hyperlink r:id="rId66" w:history="1">
        <w:r w:rsidRPr="002A7162">
          <w:rPr>
            <w:rStyle w:val="Hyperlink"/>
            <w:lang w:val="fr-BE"/>
          </w:rPr>
          <w:t>https://eur-lex.europa.eu/legal-content/EN/ALL/?uri=CELEX:52008XC0702(01)</w:t>
        </w:r>
      </w:hyperlink>
    </w:p>
  </w:footnote>
  <w:footnote w:id="65">
    <w:p w14:paraId="5FF4F860" w14:textId="77777777" w:rsidR="00BB2EA2" w:rsidRPr="002A7162" w:rsidRDefault="00BB2EA2" w:rsidP="00BB2EA2">
      <w:pPr>
        <w:pStyle w:val="FootnoteText"/>
        <w:rPr>
          <w:lang w:val="fr-BE"/>
        </w:rPr>
      </w:pPr>
      <w:r>
        <w:rPr>
          <w:rStyle w:val="FootnoteReference"/>
        </w:rPr>
        <w:footnoteRef/>
      </w:r>
      <w:r w:rsidRPr="002A7162">
        <w:rPr>
          <w:lang w:val="fr-BE"/>
        </w:rPr>
        <w:t xml:space="preserve"> </w:t>
      </w:r>
      <w:hyperlink r:id="rId67" w:history="1">
        <w:r w:rsidRPr="002A7162">
          <w:rPr>
            <w:rStyle w:val="Hyperlink"/>
            <w:lang w:val="fr-BE"/>
          </w:rPr>
          <w:t>https://eur-lex.europa.eu/legal-content/EN/ALL/?uri=CELEX:52008XC0702(01)</w:t>
        </w:r>
      </w:hyperlink>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F105D4" w14:textId="77777777" w:rsidR="00667CFB" w:rsidRDefault="00667CF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76</w:t>
    </w:r>
    <w:r>
      <w:rPr>
        <w:rStyle w:val="PageNumber"/>
      </w:rPr>
      <w:fldChar w:fldCharType="end"/>
    </w:r>
  </w:p>
  <w:p w14:paraId="57F105D5" w14:textId="77777777" w:rsidR="00667CFB" w:rsidRDefault="00667CFB">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5ADC87" w14:textId="610569EB" w:rsidR="00131B47" w:rsidRPr="009D4272" w:rsidRDefault="00D40058">
    <w:pPr>
      <w:pBdr>
        <w:left w:val="single" w:sz="12" w:space="11" w:color="4F81BD" w:themeColor="accent1"/>
      </w:pBdr>
      <w:tabs>
        <w:tab w:val="left" w:pos="3620"/>
        <w:tab w:val="left" w:pos="3964"/>
      </w:tabs>
      <w:rPr>
        <w:rFonts w:eastAsiaTheme="majorEastAsia"/>
        <w:color w:val="000000" w:themeColor="text1"/>
        <w:sz w:val="22"/>
      </w:rPr>
    </w:pPr>
    <w:sdt>
      <w:sdtPr>
        <w:rPr>
          <w:rFonts w:eastAsiaTheme="majorEastAsia"/>
          <w:color w:val="000000" w:themeColor="text1"/>
          <w:sz w:val="22"/>
        </w:rPr>
        <w:alias w:val="Title"/>
        <w:tag w:val=""/>
        <w:id w:val="-932208079"/>
        <w:placeholder>
          <w:docPart w:val="37F735D3CF4D4AD2BE4B162899F3F1F9"/>
        </w:placeholder>
        <w:dataBinding w:prefixMappings="xmlns:ns0='http://purl.org/dc/elements/1.1/' xmlns:ns1='http://schemas.openxmlformats.org/package/2006/metadata/core-properties' " w:xpath="/ns1:coreProperties[1]/ns0:title[1]" w:storeItemID="{6C3C8BC8-F283-45AE-878A-BAB7291924A1}"/>
        <w:text/>
      </w:sdtPr>
      <w:sdtEndPr/>
      <w:sdtContent>
        <w:r w:rsidR="00824C98">
          <w:rPr>
            <w:rFonts w:eastAsiaTheme="majorEastAsia"/>
            <w:color w:val="000000" w:themeColor="text1"/>
            <w:sz w:val="22"/>
          </w:rPr>
          <w:t>CHÍNH SÁCH THƯƠNG MẠI CỦA LIÊN MINH CHÂU ÂU</w:t>
        </w:r>
      </w:sdtContent>
    </w:sdt>
  </w:p>
  <w:p w14:paraId="57F105D6" w14:textId="4D308125" w:rsidR="00667CFB" w:rsidRPr="009D4272" w:rsidRDefault="00667CFB">
    <w:pPr>
      <w:pStyle w:val="Header"/>
      <w:ind w:right="360"/>
      <w:rPr>
        <w:smallCaps/>
        <w:color w:val="000000" w:themeColor="text1"/>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A8CA8F6"/>
    <w:multiLevelType w:val="hybridMultilevel"/>
    <w:tmpl w:val="043C995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9A421EA2"/>
    <w:multiLevelType w:val="hybridMultilevel"/>
    <w:tmpl w:val="DEEC3C5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A2221B77"/>
    <w:multiLevelType w:val="hybridMultilevel"/>
    <w:tmpl w:val="57308CF1"/>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A6F99936"/>
    <w:multiLevelType w:val="hybridMultilevel"/>
    <w:tmpl w:val="4DDF977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D5948122"/>
    <w:multiLevelType w:val="hybridMultilevel"/>
    <w:tmpl w:val="5754E2C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E84AA829"/>
    <w:multiLevelType w:val="hybridMultilevel"/>
    <w:tmpl w:val="B229517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E92D35B0"/>
    <w:multiLevelType w:val="hybridMultilevel"/>
    <w:tmpl w:val="B28669A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F551F11A"/>
    <w:multiLevelType w:val="hybridMultilevel"/>
    <w:tmpl w:val="8BAF4E4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FFFFFF82"/>
    <w:multiLevelType w:val="singleLevel"/>
    <w:tmpl w:val="57163AE8"/>
    <w:lvl w:ilvl="0">
      <w:start w:val="1"/>
      <w:numFmt w:val="bullet"/>
      <w:pStyle w:val="ListBullet3"/>
      <w:lvlText w:val=""/>
      <w:lvlJc w:val="left"/>
      <w:pPr>
        <w:tabs>
          <w:tab w:val="num" w:pos="1080"/>
        </w:tabs>
        <w:ind w:left="1080" w:hanging="360"/>
      </w:pPr>
      <w:rPr>
        <w:rFonts w:ascii="Symbol" w:hAnsi="Symbol" w:hint="default"/>
      </w:rPr>
    </w:lvl>
  </w:abstractNum>
  <w:abstractNum w:abstractNumId="9">
    <w:nsid w:val="FFFFFF89"/>
    <w:multiLevelType w:val="singleLevel"/>
    <w:tmpl w:val="F43EA11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0612AB3"/>
    <w:multiLevelType w:val="hybridMultilevel"/>
    <w:tmpl w:val="717AC9AA"/>
    <w:lvl w:ilvl="0" w:tplc="17EE58AC">
      <w:start w:val="1"/>
      <w:numFmt w:val="lowerRoman"/>
      <w:pStyle w:val="Heading5"/>
      <w:lvlText w:val="%1."/>
      <w:lvlJc w:val="right"/>
      <w:pPr>
        <w:ind w:left="2700" w:hanging="360"/>
      </w:pPr>
    </w:lvl>
    <w:lvl w:ilvl="1" w:tplc="08130019" w:tentative="1">
      <w:start w:val="1"/>
      <w:numFmt w:val="lowerLetter"/>
      <w:lvlText w:val="%2."/>
      <w:lvlJc w:val="left"/>
      <w:pPr>
        <w:ind w:left="3420" w:hanging="360"/>
      </w:pPr>
    </w:lvl>
    <w:lvl w:ilvl="2" w:tplc="0813001B" w:tentative="1">
      <w:start w:val="1"/>
      <w:numFmt w:val="lowerRoman"/>
      <w:lvlText w:val="%3."/>
      <w:lvlJc w:val="right"/>
      <w:pPr>
        <w:ind w:left="4140" w:hanging="180"/>
      </w:pPr>
    </w:lvl>
    <w:lvl w:ilvl="3" w:tplc="0813000F" w:tentative="1">
      <w:start w:val="1"/>
      <w:numFmt w:val="decimal"/>
      <w:lvlText w:val="%4."/>
      <w:lvlJc w:val="left"/>
      <w:pPr>
        <w:ind w:left="4860" w:hanging="360"/>
      </w:pPr>
    </w:lvl>
    <w:lvl w:ilvl="4" w:tplc="08130019" w:tentative="1">
      <w:start w:val="1"/>
      <w:numFmt w:val="lowerLetter"/>
      <w:lvlText w:val="%5."/>
      <w:lvlJc w:val="left"/>
      <w:pPr>
        <w:ind w:left="5580" w:hanging="360"/>
      </w:pPr>
    </w:lvl>
    <w:lvl w:ilvl="5" w:tplc="0813001B" w:tentative="1">
      <w:start w:val="1"/>
      <w:numFmt w:val="lowerRoman"/>
      <w:lvlText w:val="%6."/>
      <w:lvlJc w:val="right"/>
      <w:pPr>
        <w:ind w:left="6300" w:hanging="180"/>
      </w:pPr>
    </w:lvl>
    <w:lvl w:ilvl="6" w:tplc="0813000F" w:tentative="1">
      <w:start w:val="1"/>
      <w:numFmt w:val="decimal"/>
      <w:lvlText w:val="%7."/>
      <w:lvlJc w:val="left"/>
      <w:pPr>
        <w:ind w:left="7020" w:hanging="360"/>
      </w:pPr>
    </w:lvl>
    <w:lvl w:ilvl="7" w:tplc="08130019" w:tentative="1">
      <w:start w:val="1"/>
      <w:numFmt w:val="lowerLetter"/>
      <w:lvlText w:val="%8."/>
      <w:lvlJc w:val="left"/>
      <w:pPr>
        <w:ind w:left="7740" w:hanging="360"/>
      </w:pPr>
    </w:lvl>
    <w:lvl w:ilvl="8" w:tplc="0813001B" w:tentative="1">
      <w:start w:val="1"/>
      <w:numFmt w:val="lowerRoman"/>
      <w:lvlText w:val="%9."/>
      <w:lvlJc w:val="right"/>
      <w:pPr>
        <w:ind w:left="8460" w:hanging="180"/>
      </w:pPr>
    </w:lvl>
  </w:abstractNum>
  <w:abstractNum w:abstractNumId="11">
    <w:nsid w:val="008A5AB6"/>
    <w:multiLevelType w:val="hybridMultilevel"/>
    <w:tmpl w:val="56EC34DC"/>
    <w:lvl w:ilvl="0" w:tplc="F210E9B4">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036E4D35"/>
    <w:multiLevelType w:val="hybridMultilevel"/>
    <w:tmpl w:val="95F8B668"/>
    <w:lvl w:ilvl="0" w:tplc="E9A60E1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059845AF"/>
    <w:multiLevelType w:val="hybridMultilevel"/>
    <w:tmpl w:val="58786946"/>
    <w:lvl w:ilvl="0" w:tplc="1806FD4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063C4E26"/>
    <w:multiLevelType w:val="hybridMultilevel"/>
    <w:tmpl w:val="ECB811D6"/>
    <w:lvl w:ilvl="0" w:tplc="F62EF530">
      <w:start w:val="1"/>
      <w:numFmt w:val="upperRoman"/>
      <w:lvlText w:val="%1."/>
      <w:lvlJc w:val="right"/>
      <w:pPr>
        <w:ind w:left="720" w:hanging="360"/>
      </w:pPr>
    </w:lvl>
    <w:lvl w:ilvl="1" w:tplc="BB3EC866" w:tentative="1">
      <w:start w:val="1"/>
      <w:numFmt w:val="lowerLetter"/>
      <w:lvlText w:val="%2."/>
      <w:lvlJc w:val="left"/>
      <w:pPr>
        <w:ind w:left="1440" w:hanging="360"/>
      </w:pPr>
    </w:lvl>
    <w:lvl w:ilvl="2" w:tplc="7250D1E4" w:tentative="1">
      <w:start w:val="1"/>
      <w:numFmt w:val="lowerRoman"/>
      <w:lvlText w:val="%3."/>
      <w:lvlJc w:val="right"/>
      <w:pPr>
        <w:ind w:left="2160" w:hanging="180"/>
      </w:pPr>
    </w:lvl>
    <w:lvl w:ilvl="3" w:tplc="AC0A6B88" w:tentative="1">
      <w:start w:val="1"/>
      <w:numFmt w:val="decimal"/>
      <w:lvlText w:val="%4."/>
      <w:lvlJc w:val="left"/>
      <w:pPr>
        <w:ind w:left="2880" w:hanging="360"/>
      </w:pPr>
    </w:lvl>
    <w:lvl w:ilvl="4" w:tplc="A462E670" w:tentative="1">
      <w:start w:val="1"/>
      <w:numFmt w:val="lowerLetter"/>
      <w:lvlText w:val="%5."/>
      <w:lvlJc w:val="left"/>
      <w:pPr>
        <w:ind w:left="3600" w:hanging="360"/>
      </w:pPr>
    </w:lvl>
    <w:lvl w:ilvl="5" w:tplc="FFA60FCE" w:tentative="1">
      <w:start w:val="1"/>
      <w:numFmt w:val="lowerRoman"/>
      <w:lvlText w:val="%6."/>
      <w:lvlJc w:val="right"/>
      <w:pPr>
        <w:ind w:left="4320" w:hanging="180"/>
      </w:pPr>
    </w:lvl>
    <w:lvl w:ilvl="6" w:tplc="982C7686" w:tentative="1">
      <w:start w:val="1"/>
      <w:numFmt w:val="decimal"/>
      <w:lvlText w:val="%7."/>
      <w:lvlJc w:val="left"/>
      <w:pPr>
        <w:ind w:left="5040" w:hanging="360"/>
      </w:pPr>
    </w:lvl>
    <w:lvl w:ilvl="7" w:tplc="72D48F1E" w:tentative="1">
      <w:start w:val="1"/>
      <w:numFmt w:val="lowerLetter"/>
      <w:lvlText w:val="%8."/>
      <w:lvlJc w:val="left"/>
      <w:pPr>
        <w:ind w:left="5760" w:hanging="360"/>
      </w:pPr>
    </w:lvl>
    <w:lvl w:ilvl="8" w:tplc="EFAC633C" w:tentative="1">
      <w:start w:val="1"/>
      <w:numFmt w:val="lowerRoman"/>
      <w:lvlText w:val="%9."/>
      <w:lvlJc w:val="right"/>
      <w:pPr>
        <w:ind w:left="6480" w:hanging="180"/>
      </w:pPr>
    </w:lvl>
  </w:abstractNum>
  <w:abstractNum w:abstractNumId="15">
    <w:nsid w:val="0A406BF4"/>
    <w:multiLevelType w:val="hybridMultilevel"/>
    <w:tmpl w:val="11F68EFA"/>
    <w:lvl w:ilvl="0" w:tplc="9148139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0C3A4D60"/>
    <w:multiLevelType w:val="hybridMultilevel"/>
    <w:tmpl w:val="E2382E9A"/>
    <w:lvl w:ilvl="0" w:tplc="8A30BFC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0F8D79A1"/>
    <w:multiLevelType w:val="hybridMultilevel"/>
    <w:tmpl w:val="1A50689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10E72B3A"/>
    <w:multiLevelType w:val="multilevel"/>
    <w:tmpl w:val="BABA0BC2"/>
    <w:styleLink w:val="MDRSubmissionlistRomanregularnumbering"/>
    <w:lvl w:ilvl="0">
      <w:start w:val="1"/>
      <w:numFmt w:val="upperRoman"/>
      <w:lvlText w:val="%1."/>
      <w:lvlJc w:val="left"/>
      <w:pPr>
        <w:ind w:left="737" w:hanging="737"/>
      </w:pPr>
      <w:rPr>
        <w:rFonts w:ascii="Times" w:hAnsi="Times"/>
        <w:b/>
        <w:caps/>
        <w:sz w:val="28"/>
        <w:u w:val="none"/>
      </w:rPr>
    </w:lvl>
    <w:lvl w:ilvl="1">
      <w:start w:val="1"/>
      <w:numFmt w:val="decimal"/>
      <w:lvlText w:val="%2."/>
      <w:lvlJc w:val="left"/>
      <w:pPr>
        <w:ind w:left="1191" w:hanging="851"/>
      </w:pPr>
      <w:rPr>
        <w:rFonts w:ascii="Times" w:hAnsi="Times" w:hint="default"/>
        <w:b/>
        <w:i w:val="0"/>
        <w:sz w:val="24"/>
      </w:rPr>
    </w:lvl>
    <w:lvl w:ilvl="2">
      <w:start w:val="1"/>
      <w:numFmt w:val="decimal"/>
      <w:lvlText w:val="%2.%3."/>
      <w:lvlJc w:val="left"/>
      <w:pPr>
        <w:ind w:left="1758" w:hanging="964"/>
      </w:pPr>
      <w:rPr>
        <w:rFonts w:hint="default"/>
      </w:rPr>
    </w:lvl>
    <w:lvl w:ilvl="3">
      <w:start w:val="1"/>
      <w:numFmt w:val="decimal"/>
      <w:lvlText w:val="%2.%3.%4."/>
      <w:lvlJc w:val="left"/>
      <w:pPr>
        <w:ind w:left="2325" w:hanging="1245"/>
      </w:pPr>
      <w:rPr>
        <w:rFonts w:ascii="Times" w:hAnsi="Times" w:hint="default"/>
        <w:b/>
        <w:i/>
        <w:sz w:val="24"/>
      </w:rPr>
    </w:lvl>
    <w:lvl w:ilvl="4">
      <w:start w:val="1"/>
      <w:numFmt w:val="decimal"/>
      <w:lvlText w:val="%2.%3.%4.%5."/>
      <w:lvlJc w:val="left"/>
      <w:pPr>
        <w:ind w:left="2232" w:hanging="792"/>
      </w:pPr>
      <w:rPr>
        <w:rFonts w:ascii="Times New Roman" w:hAnsi="Times New Roman" w:hint="default"/>
        <w:sz w:val="24"/>
        <w:u w:val="words"/>
      </w:rPr>
    </w:lvl>
    <w:lvl w:ilvl="5">
      <w:start w:val="1"/>
      <w:numFmt w:val="lowerLetter"/>
      <w:lvlText w:val="%6."/>
      <w:lvlJc w:val="left"/>
      <w:pPr>
        <w:ind w:left="2736" w:hanging="936"/>
      </w:pPr>
      <w:rPr>
        <w:rFonts w:hint="default"/>
      </w:rPr>
    </w:lvl>
    <w:lvl w:ilvl="6">
      <w:start w:val="1"/>
      <w:numFmt w:val="decimal"/>
      <w:lvlText w:val="%6.%7."/>
      <w:lvlJc w:val="left"/>
      <w:pPr>
        <w:ind w:left="3240" w:hanging="1080"/>
      </w:pPr>
      <w:rPr>
        <w:rFonts w:hint="default"/>
      </w:rPr>
    </w:lvl>
    <w:lvl w:ilvl="7">
      <w:start w:val="1"/>
      <w:numFmt w:val="none"/>
      <w:lvlRestart w:val="0"/>
      <w:lvlText w:val=""/>
      <w:lvlJc w:val="left"/>
      <w:pPr>
        <w:ind w:left="3744" w:hanging="1224"/>
      </w:pPr>
      <w:rPr>
        <w:rFonts w:hint="default"/>
      </w:rPr>
    </w:lvl>
    <w:lvl w:ilvl="8">
      <w:start w:val="1"/>
      <w:numFmt w:val="none"/>
      <w:lvlText w:val=""/>
      <w:lvlJc w:val="left"/>
      <w:pPr>
        <w:ind w:left="4320" w:hanging="1440"/>
      </w:pPr>
      <w:rPr>
        <w:rFonts w:hint="default"/>
      </w:rPr>
    </w:lvl>
  </w:abstractNum>
  <w:abstractNum w:abstractNumId="19">
    <w:nsid w:val="13985417"/>
    <w:multiLevelType w:val="hybridMultilevel"/>
    <w:tmpl w:val="1E5AE340"/>
    <w:lvl w:ilvl="0" w:tplc="F1F28306">
      <w:start w:val="1"/>
      <w:numFmt w:val="upperLetter"/>
      <w:pStyle w:val="StyleHeading3TimesNewRoman12pt"/>
      <w:lvlText w:val="%1."/>
      <w:lvlJc w:val="left"/>
      <w:pPr>
        <w:tabs>
          <w:tab w:val="num" w:pos="851"/>
        </w:tabs>
        <w:ind w:left="851" w:hanging="851"/>
      </w:pPr>
      <w:rPr>
        <w:rFonts w:ascii="Times New Roman" w:hAnsi="Times New Roman" w:hint="default"/>
        <w:b w:val="0"/>
        <w:i w:val="0"/>
        <w:sz w:val="24"/>
        <w:szCs w:val="24"/>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1C9361B0"/>
    <w:multiLevelType w:val="hybridMultilevel"/>
    <w:tmpl w:val="97A04E60"/>
    <w:lvl w:ilvl="0" w:tplc="1B12D5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DA90BF0"/>
    <w:multiLevelType w:val="multilevel"/>
    <w:tmpl w:val="EBC4681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1E141EC7"/>
    <w:multiLevelType w:val="hybridMultilevel"/>
    <w:tmpl w:val="F0545202"/>
    <w:lvl w:ilvl="0" w:tplc="11B0D05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1E671970"/>
    <w:multiLevelType w:val="hybridMultilevel"/>
    <w:tmpl w:val="2C68DEC2"/>
    <w:lvl w:ilvl="0" w:tplc="3B4C421A">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7B841FB"/>
    <w:multiLevelType w:val="hybridMultilevel"/>
    <w:tmpl w:val="6EA8675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nsid w:val="290863E8"/>
    <w:multiLevelType w:val="hybridMultilevel"/>
    <w:tmpl w:val="325692A0"/>
    <w:lvl w:ilvl="0" w:tplc="D2CEA75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6">
    <w:nsid w:val="2BCB406D"/>
    <w:multiLevelType w:val="multilevel"/>
    <w:tmpl w:val="AC2EF994"/>
    <w:lvl w:ilvl="0">
      <w:start w:val="1"/>
      <w:numFmt w:val="upperRoman"/>
      <w:lvlText w:val="%1."/>
      <w:lvlJc w:val="left"/>
      <w:pPr>
        <w:ind w:left="737" w:hanging="737"/>
      </w:pPr>
      <w:rPr>
        <w:rFonts w:ascii="Times" w:hAnsi="Times"/>
        <w:b/>
        <w:caps/>
        <w:sz w:val="28"/>
        <w:u w:val="none"/>
      </w:rPr>
    </w:lvl>
    <w:lvl w:ilvl="1">
      <w:start w:val="1"/>
      <w:numFmt w:val="decimal"/>
      <w:lvlText w:val="%2."/>
      <w:lvlJc w:val="left"/>
      <w:pPr>
        <w:ind w:left="1191" w:hanging="851"/>
      </w:pPr>
      <w:rPr>
        <w:rFonts w:ascii="Times" w:hAnsi="Times" w:hint="default"/>
        <w:b/>
        <w:i w:val="0"/>
        <w:sz w:val="24"/>
      </w:rPr>
    </w:lvl>
    <w:lvl w:ilvl="2">
      <w:start w:val="1"/>
      <w:numFmt w:val="decimal"/>
      <w:lvlText w:val="%2.%3."/>
      <w:lvlJc w:val="left"/>
      <w:pPr>
        <w:ind w:left="1758" w:hanging="964"/>
      </w:pPr>
      <w:rPr>
        <w:rFonts w:hint="default"/>
      </w:rPr>
    </w:lvl>
    <w:lvl w:ilvl="3">
      <w:start w:val="1"/>
      <w:numFmt w:val="decimal"/>
      <w:pStyle w:val="Heading4"/>
      <w:lvlText w:val="%2.%3.%4."/>
      <w:lvlJc w:val="left"/>
      <w:pPr>
        <w:ind w:left="2805" w:hanging="1245"/>
      </w:pPr>
      <w:rPr>
        <w:rFonts w:ascii="Times" w:hAnsi="Times" w:hint="default"/>
        <w:b/>
        <w:i/>
        <w:sz w:val="24"/>
        <w:lang w:val="en-US"/>
      </w:rPr>
    </w:lvl>
    <w:lvl w:ilvl="4">
      <w:start w:val="1"/>
      <w:numFmt w:val="decimal"/>
      <w:lvlText w:val="%2.%3.%4.%5."/>
      <w:lvlJc w:val="left"/>
      <w:pPr>
        <w:ind w:left="2232" w:hanging="792"/>
      </w:pPr>
      <w:rPr>
        <w:rFonts w:ascii="Times New Roman" w:hAnsi="Times New Roman" w:hint="default"/>
        <w:sz w:val="24"/>
        <w:u w:val="words"/>
      </w:rPr>
    </w:lvl>
    <w:lvl w:ilvl="5">
      <w:start w:val="1"/>
      <w:numFmt w:val="lowerLetter"/>
      <w:lvlText w:val="%6."/>
      <w:lvlJc w:val="left"/>
      <w:pPr>
        <w:ind w:left="2736" w:hanging="936"/>
      </w:pPr>
      <w:rPr>
        <w:rFonts w:hint="default"/>
      </w:rPr>
    </w:lvl>
    <w:lvl w:ilvl="6">
      <w:start w:val="1"/>
      <w:numFmt w:val="decimal"/>
      <w:lvlText w:val="%6.%7."/>
      <w:lvlJc w:val="left"/>
      <w:pPr>
        <w:ind w:left="3240" w:hanging="1080"/>
      </w:pPr>
      <w:rPr>
        <w:rFonts w:hint="default"/>
      </w:rPr>
    </w:lvl>
    <w:lvl w:ilvl="7">
      <w:start w:val="1"/>
      <w:numFmt w:val="none"/>
      <w:lvlRestart w:val="0"/>
      <w:lvlText w:val=""/>
      <w:lvlJc w:val="left"/>
      <w:pPr>
        <w:ind w:left="3744" w:hanging="1224"/>
      </w:pPr>
      <w:rPr>
        <w:rFonts w:hint="default"/>
      </w:rPr>
    </w:lvl>
    <w:lvl w:ilvl="8">
      <w:start w:val="1"/>
      <w:numFmt w:val="none"/>
      <w:lvlText w:val=""/>
      <w:lvlJc w:val="left"/>
      <w:pPr>
        <w:ind w:left="4320" w:hanging="1440"/>
      </w:pPr>
      <w:rPr>
        <w:rFonts w:hint="default"/>
      </w:rPr>
    </w:lvl>
  </w:abstractNum>
  <w:abstractNum w:abstractNumId="27">
    <w:nsid w:val="2DA543E2"/>
    <w:multiLevelType w:val="hybridMultilevel"/>
    <w:tmpl w:val="9F8C2A00"/>
    <w:lvl w:ilvl="0" w:tplc="AC0234D8">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8">
    <w:nsid w:val="319F6E15"/>
    <w:multiLevelType w:val="hybridMultilevel"/>
    <w:tmpl w:val="C0A4E700"/>
    <w:lvl w:ilvl="0" w:tplc="0CCC647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32040A59"/>
    <w:multiLevelType w:val="multilevel"/>
    <w:tmpl w:val="411C4662"/>
    <w:lvl w:ilvl="0">
      <w:start w:val="2"/>
      <w:numFmt w:val="decimal"/>
      <w:lvlText w:val="%1."/>
      <w:lvlJc w:val="left"/>
      <w:pPr>
        <w:ind w:left="540" w:hanging="540"/>
      </w:pPr>
      <w:rPr>
        <w:rFonts w:hint="default"/>
        <w:b w:val="0"/>
      </w:rPr>
    </w:lvl>
    <w:lvl w:ilvl="1">
      <w:start w:val="7"/>
      <w:numFmt w:val="decimal"/>
      <w:lvlText w:val="%1.%2."/>
      <w:lvlJc w:val="left"/>
      <w:pPr>
        <w:ind w:left="540" w:hanging="540"/>
      </w:pPr>
      <w:rPr>
        <w:rFonts w:hint="default"/>
        <w:b w:val="0"/>
      </w:rPr>
    </w:lvl>
    <w:lvl w:ilvl="2">
      <w:start w:val="1"/>
      <w:numFmt w:val="decimal"/>
      <w:lvlText w:val="%1.%2.%3."/>
      <w:lvlJc w:val="left"/>
      <w:pPr>
        <w:ind w:left="720" w:hanging="720"/>
      </w:pPr>
      <w:rPr>
        <w:rFonts w:hint="default"/>
        <w:b/>
        <w:bCs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0">
    <w:nsid w:val="32801547"/>
    <w:multiLevelType w:val="hybridMultilevel"/>
    <w:tmpl w:val="FF0E731A"/>
    <w:lvl w:ilvl="0" w:tplc="C602F29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32C31E26"/>
    <w:multiLevelType w:val="multilevel"/>
    <w:tmpl w:val="A9802AD2"/>
    <w:lvl w:ilvl="0">
      <w:start w:val="1"/>
      <w:numFmt w:val="upperRoman"/>
      <w:lvlText w:val="%1."/>
      <w:lvlJc w:val="left"/>
      <w:pPr>
        <w:ind w:left="737" w:hanging="737"/>
      </w:pPr>
      <w:rPr>
        <w:rFonts w:ascii="Times" w:hAnsi="Times"/>
        <w:b/>
        <w:caps/>
        <w:sz w:val="28"/>
        <w:u w:val="none"/>
      </w:rPr>
    </w:lvl>
    <w:lvl w:ilvl="1">
      <w:start w:val="1"/>
      <w:numFmt w:val="decimal"/>
      <w:lvlText w:val="%2."/>
      <w:lvlJc w:val="left"/>
      <w:pPr>
        <w:ind w:left="1191" w:hanging="851"/>
      </w:pPr>
      <w:rPr>
        <w:rFonts w:ascii="Times" w:hAnsi="Times" w:hint="default"/>
        <w:b/>
        <w:i w:val="0"/>
        <w:sz w:val="24"/>
      </w:rPr>
    </w:lvl>
    <w:lvl w:ilvl="2">
      <w:start w:val="1"/>
      <w:numFmt w:val="decimal"/>
      <w:pStyle w:val="Heading3"/>
      <w:lvlText w:val="%2.%3."/>
      <w:lvlJc w:val="left"/>
      <w:pPr>
        <w:ind w:left="1758" w:hanging="964"/>
      </w:pPr>
      <w:rPr>
        <w:rFonts w:hint="default"/>
        <w:i w:val="0"/>
      </w:rPr>
    </w:lvl>
    <w:lvl w:ilvl="3">
      <w:start w:val="1"/>
      <w:numFmt w:val="decimal"/>
      <w:lvlText w:val="%2.%3.%4."/>
      <w:lvlJc w:val="left"/>
      <w:pPr>
        <w:ind w:left="2325" w:hanging="1245"/>
      </w:pPr>
      <w:rPr>
        <w:rFonts w:ascii="Times" w:hAnsi="Times" w:hint="default"/>
        <w:b/>
        <w:i/>
        <w:sz w:val="24"/>
      </w:rPr>
    </w:lvl>
    <w:lvl w:ilvl="4">
      <w:start w:val="1"/>
      <w:numFmt w:val="decimal"/>
      <w:lvlText w:val="%2.%3.%4.%5."/>
      <w:lvlJc w:val="left"/>
      <w:pPr>
        <w:ind w:left="2232" w:hanging="792"/>
      </w:pPr>
      <w:rPr>
        <w:rFonts w:ascii="Times New Roman" w:hAnsi="Times New Roman" w:hint="default"/>
        <w:sz w:val="24"/>
        <w:u w:val="words"/>
      </w:rPr>
    </w:lvl>
    <w:lvl w:ilvl="5">
      <w:start w:val="1"/>
      <w:numFmt w:val="lowerLetter"/>
      <w:lvlText w:val="%6."/>
      <w:lvlJc w:val="left"/>
      <w:pPr>
        <w:ind w:left="2736" w:hanging="936"/>
      </w:pPr>
      <w:rPr>
        <w:rFonts w:hint="default"/>
      </w:rPr>
    </w:lvl>
    <w:lvl w:ilvl="6">
      <w:start w:val="1"/>
      <w:numFmt w:val="decimal"/>
      <w:lvlText w:val="%6.%7."/>
      <w:lvlJc w:val="left"/>
      <w:pPr>
        <w:ind w:left="3240" w:hanging="1080"/>
      </w:pPr>
      <w:rPr>
        <w:rFonts w:hint="default"/>
      </w:rPr>
    </w:lvl>
    <w:lvl w:ilvl="7">
      <w:start w:val="1"/>
      <w:numFmt w:val="none"/>
      <w:lvlRestart w:val="0"/>
      <w:lvlText w:val=""/>
      <w:lvlJc w:val="left"/>
      <w:pPr>
        <w:ind w:left="3744" w:hanging="1224"/>
      </w:pPr>
      <w:rPr>
        <w:rFonts w:hint="default"/>
      </w:rPr>
    </w:lvl>
    <w:lvl w:ilvl="8">
      <w:start w:val="1"/>
      <w:numFmt w:val="none"/>
      <w:lvlText w:val=""/>
      <w:lvlJc w:val="left"/>
      <w:pPr>
        <w:ind w:left="4320" w:hanging="1440"/>
      </w:pPr>
      <w:rPr>
        <w:rFonts w:hint="default"/>
      </w:rPr>
    </w:lvl>
  </w:abstractNum>
  <w:abstractNum w:abstractNumId="32">
    <w:nsid w:val="34D7627C"/>
    <w:multiLevelType w:val="hybridMultilevel"/>
    <w:tmpl w:val="2D0A4582"/>
    <w:lvl w:ilvl="0" w:tplc="1D00EBB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3833394C"/>
    <w:multiLevelType w:val="hybridMultilevel"/>
    <w:tmpl w:val="723CF810"/>
    <w:lvl w:ilvl="0" w:tplc="4FE68A62">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4">
    <w:nsid w:val="3BFF5C81"/>
    <w:multiLevelType w:val="multilevel"/>
    <w:tmpl w:val="D65C2776"/>
    <w:lvl w:ilvl="0">
      <w:start w:val="1"/>
      <w:numFmt w:val="upperRoman"/>
      <w:lvlText w:val="%1."/>
      <w:lvlJc w:val="left"/>
      <w:pPr>
        <w:tabs>
          <w:tab w:val="num" w:pos="851"/>
        </w:tabs>
        <w:ind w:left="851" w:hanging="851"/>
      </w:pPr>
      <w:rPr>
        <w:rFonts w:ascii="Times New Roman" w:hAnsi="Times New Roman" w:hint="default"/>
        <w:b/>
        <w:i w:val="0"/>
        <w:sz w:val="28"/>
        <w:szCs w:val="28"/>
        <w:u w:val="none"/>
      </w:rPr>
    </w:lvl>
    <w:lvl w:ilvl="1">
      <w:start w:val="1"/>
      <w:numFmt w:val="decimal"/>
      <w:lvlRestart w:val="0"/>
      <w:lvlText w:val="%2."/>
      <w:lvlJc w:val="left"/>
      <w:pPr>
        <w:tabs>
          <w:tab w:val="num" w:pos="567"/>
        </w:tabs>
        <w:ind w:left="567" w:hanging="567"/>
      </w:pPr>
      <w:rPr>
        <w:rFonts w:ascii="Times New Roman" w:hAnsi="Times New Roman" w:hint="default"/>
        <w:b/>
        <w:i w:val="0"/>
        <w:sz w:val="24"/>
        <w:szCs w:val="20"/>
        <w:u w:val="none"/>
      </w:rPr>
    </w:lvl>
    <w:lvl w:ilvl="2">
      <w:start w:val="1"/>
      <w:numFmt w:val="lowerRoman"/>
      <w:lvlText w:val="%3."/>
      <w:lvlJc w:val="right"/>
      <w:pPr>
        <w:tabs>
          <w:tab w:val="num" w:pos="2160"/>
        </w:tabs>
        <w:ind w:left="2160" w:hanging="180"/>
      </w:pPr>
      <w:rPr>
        <w:rFonts w:hint="default"/>
      </w:rPr>
    </w:lvl>
    <w:lvl w:ilvl="3">
      <w:start w:val="1"/>
      <w:numFmt w:val="decimal"/>
      <w:lvlText w:val="RRJ-%4."/>
      <w:lvlJc w:val="left"/>
      <w:pPr>
        <w:tabs>
          <w:tab w:val="num" w:pos="2880"/>
        </w:tabs>
        <w:ind w:left="2880" w:hanging="360"/>
      </w:pPr>
      <w:rPr>
        <w:rFonts w:hint="default"/>
        <w:b/>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b/>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5">
    <w:nsid w:val="3C815CE3"/>
    <w:multiLevelType w:val="hybridMultilevel"/>
    <w:tmpl w:val="4926978C"/>
    <w:lvl w:ilvl="0" w:tplc="6910EA08">
      <w:start w:val="1"/>
      <w:numFmt w:val="decimal"/>
      <w:pStyle w:val="numro"/>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E307EB4"/>
    <w:multiLevelType w:val="hybridMultilevel"/>
    <w:tmpl w:val="F8A443D6"/>
    <w:lvl w:ilvl="0" w:tplc="6EA89CD4">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7">
    <w:nsid w:val="42AD378A"/>
    <w:multiLevelType w:val="multilevel"/>
    <w:tmpl w:val="EBC4681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nsid w:val="453B21C3"/>
    <w:multiLevelType w:val="multilevel"/>
    <w:tmpl w:val="D65C2776"/>
    <w:lvl w:ilvl="0">
      <w:start w:val="1"/>
      <w:numFmt w:val="upperRoman"/>
      <w:lvlText w:val="%1."/>
      <w:lvlJc w:val="left"/>
      <w:pPr>
        <w:tabs>
          <w:tab w:val="num" w:pos="851"/>
        </w:tabs>
        <w:ind w:left="851" w:hanging="851"/>
      </w:pPr>
      <w:rPr>
        <w:rFonts w:ascii="Times New Roman" w:hAnsi="Times New Roman" w:hint="default"/>
        <w:b/>
        <w:i w:val="0"/>
        <w:sz w:val="28"/>
        <w:szCs w:val="28"/>
        <w:u w:val="none"/>
      </w:rPr>
    </w:lvl>
    <w:lvl w:ilvl="1">
      <w:start w:val="1"/>
      <w:numFmt w:val="decimal"/>
      <w:lvlRestart w:val="0"/>
      <w:lvlText w:val="%2."/>
      <w:lvlJc w:val="left"/>
      <w:pPr>
        <w:tabs>
          <w:tab w:val="num" w:pos="567"/>
        </w:tabs>
        <w:ind w:left="567" w:hanging="567"/>
      </w:pPr>
      <w:rPr>
        <w:rFonts w:ascii="Times New Roman" w:hAnsi="Times New Roman" w:hint="default"/>
        <w:b/>
        <w:i w:val="0"/>
        <w:sz w:val="24"/>
        <w:szCs w:val="20"/>
        <w:u w:val="none"/>
      </w:rPr>
    </w:lvl>
    <w:lvl w:ilvl="2">
      <w:start w:val="1"/>
      <w:numFmt w:val="lowerRoman"/>
      <w:lvlText w:val="%3."/>
      <w:lvlJc w:val="right"/>
      <w:pPr>
        <w:tabs>
          <w:tab w:val="num" w:pos="2160"/>
        </w:tabs>
        <w:ind w:left="2160" w:hanging="180"/>
      </w:pPr>
      <w:rPr>
        <w:rFonts w:hint="default"/>
      </w:rPr>
    </w:lvl>
    <w:lvl w:ilvl="3">
      <w:start w:val="1"/>
      <w:numFmt w:val="decimal"/>
      <w:lvlText w:val="RRJ-%4."/>
      <w:lvlJc w:val="left"/>
      <w:pPr>
        <w:tabs>
          <w:tab w:val="num" w:pos="2880"/>
        </w:tabs>
        <w:ind w:left="2880" w:hanging="360"/>
      </w:pPr>
      <w:rPr>
        <w:rFonts w:hint="default"/>
        <w:b/>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b/>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9">
    <w:nsid w:val="4AD042AB"/>
    <w:multiLevelType w:val="multilevel"/>
    <w:tmpl w:val="B52E1E98"/>
    <w:lvl w:ilvl="0">
      <w:start w:val="1"/>
      <w:numFmt w:val="upperRoman"/>
      <w:pStyle w:val="Heading1"/>
      <w:lvlText w:val="%1."/>
      <w:lvlJc w:val="left"/>
      <w:pPr>
        <w:ind w:left="737" w:hanging="737"/>
      </w:pPr>
      <w:rPr>
        <w:rFonts w:ascii="Times" w:hAnsi="Times"/>
        <w:b/>
        <w:caps/>
        <w:sz w:val="24"/>
        <w:szCs w:val="22"/>
        <w:u w:val="none"/>
      </w:rPr>
    </w:lvl>
    <w:lvl w:ilvl="1">
      <w:start w:val="1"/>
      <w:numFmt w:val="upperLetter"/>
      <w:pStyle w:val="Heading2"/>
      <w:lvlText w:val="%2."/>
      <w:lvlJc w:val="left"/>
      <w:pPr>
        <w:ind w:left="1191" w:hanging="851"/>
      </w:pPr>
      <w:rPr>
        <w:rFonts w:hint="default"/>
        <w:b/>
        <w:i w:val="0"/>
        <w:color w:val="000000" w:themeColor="text1"/>
        <w:sz w:val="24"/>
      </w:rPr>
    </w:lvl>
    <w:lvl w:ilvl="2">
      <w:start w:val="1"/>
      <w:numFmt w:val="decimal"/>
      <w:lvlText w:val="%2.%3."/>
      <w:lvlJc w:val="left"/>
      <w:pPr>
        <w:ind w:left="1758" w:hanging="964"/>
      </w:pPr>
      <w:rPr>
        <w:rFonts w:hint="default"/>
      </w:rPr>
    </w:lvl>
    <w:lvl w:ilvl="3">
      <w:start w:val="1"/>
      <w:numFmt w:val="decimal"/>
      <w:lvlText w:val="%2.%3.%4."/>
      <w:lvlJc w:val="left"/>
      <w:pPr>
        <w:ind w:left="2325" w:hanging="1245"/>
      </w:pPr>
      <w:rPr>
        <w:rFonts w:ascii="Times" w:hAnsi="Times" w:hint="default"/>
        <w:b/>
        <w:i/>
        <w:sz w:val="24"/>
      </w:rPr>
    </w:lvl>
    <w:lvl w:ilvl="4">
      <w:start w:val="1"/>
      <w:numFmt w:val="decimal"/>
      <w:lvlText w:val="%2.%3.%4.%5."/>
      <w:lvlJc w:val="left"/>
      <w:pPr>
        <w:ind w:left="2232" w:hanging="792"/>
      </w:pPr>
      <w:rPr>
        <w:rFonts w:ascii="Times New Roman" w:hAnsi="Times New Roman" w:hint="default"/>
        <w:sz w:val="24"/>
        <w:u w:val="words"/>
      </w:rPr>
    </w:lvl>
    <w:lvl w:ilvl="5">
      <w:start w:val="1"/>
      <w:numFmt w:val="lowerLetter"/>
      <w:lvlText w:val="%6."/>
      <w:lvlJc w:val="left"/>
      <w:pPr>
        <w:ind w:left="2736" w:hanging="936"/>
      </w:pPr>
      <w:rPr>
        <w:rFonts w:hint="default"/>
        <w:b/>
        <w:bCs/>
      </w:rPr>
    </w:lvl>
    <w:lvl w:ilvl="6">
      <w:start w:val="1"/>
      <w:numFmt w:val="decimal"/>
      <w:lvlText w:val="%6.%7."/>
      <w:lvlJc w:val="left"/>
      <w:pPr>
        <w:ind w:left="3240" w:hanging="1080"/>
      </w:pPr>
      <w:rPr>
        <w:rFonts w:hint="default"/>
      </w:rPr>
    </w:lvl>
    <w:lvl w:ilvl="7">
      <w:start w:val="1"/>
      <w:numFmt w:val="none"/>
      <w:lvlRestart w:val="0"/>
      <w:lvlText w:val=""/>
      <w:lvlJc w:val="left"/>
      <w:pPr>
        <w:ind w:left="3744" w:hanging="1224"/>
      </w:pPr>
      <w:rPr>
        <w:rFonts w:hint="default"/>
      </w:rPr>
    </w:lvl>
    <w:lvl w:ilvl="8">
      <w:start w:val="1"/>
      <w:numFmt w:val="none"/>
      <w:lvlText w:val=""/>
      <w:lvlJc w:val="left"/>
      <w:pPr>
        <w:ind w:left="4320" w:hanging="1440"/>
      </w:pPr>
      <w:rPr>
        <w:rFonts w:hint="default"/>
      </w:rPr>
    </w:lvl>
  </w:abstractNum>
  <w:abstractNum w:abstractNumId="40">
    <w:nsid w:val="4BE12DB3"/>
    <w:multiLevelType w:val="hybridMultilevel"/>
    <w:tmpl w:val="97A04E60"/>
    <w:lvl w:ilvl="0" w:tplc="1B12D5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7EA732D"/>
    <w:multiLevelType w:val="hybridMultilevel"/>
    <w:tmpl w:val="208AD63C"/>
    <w:lvl w:ilvl="0" w:tplc="1CD21490">
      <w:start w:val="1"/>
      <w:numFmt w:val="upperRoman"/>
      <w:pStyle w:val="Style1"/>
      <w:lvlText w:val="%1."/>
      <w:lvlJc w:val="left"/>
      <w:pPr>
        <w:tabs>
          <w:tab w:val="num" w:pos="851"/>
        </w:tabs>
        <w:ind w:left="851" w:hanging="851"/>
      </w:pPr>
      <w:rPr>
        <w:rFonts w:ascii="Times New Roman" w:hAnsi="Times New Roman" w:hint="default"/>
        <w:b/>
        <w:i w:val="0"/>
        <w:sz w:val="28"/>
        <w:szCs w:val="28"/>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nsid w:val="5BC27865"/>
    <w:multiLevelType w:val="hybridMultilevel"/>
    <w:tmpl w:val="1748891A"/>
    <w:lvl w:ilvl="0" w:tplc="3B429FC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nsid w:val="62D67840"/>
    <w:multiLevelType w:val="hybridMultilevel"/>
    <w:tmpl w:val="1FAEA230"/>
    <w:lvl w:ilvl="0" w:tplc="C1B259B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nsid w:val="62E95622"/>
    <w:multiLevelType w:val="hybridMultilevel"/>
    <w:tmpl w:val="3F9254B0"/>
    <w:lvl w:ilvl="0" w:tplc="23CCA260">
      <w:start w:val="1"/>
      <w:numFmt w:val="upperRoman"/>
      <w:pStyle w:val="Style2"/>
      <w:lvlText w:val="%1."/>
      <w:lvlJc w:val="left"/>
      <w:pPr>
        <w:tabs>
          <w:tab w:val="num" w:pos="851"/>
        </w:tabs>
        <w:ind w:left="851" w:hanging="851"/>
      </w:pPr>
      <w:rPr>
        <w:rFonts w:ascii="Times New Roman" w:hAnsi="Times New Roman" w:hint="default"/>
        <w:b/>
        <w:i w:val="0"/>
        <w:sz w:val="28"/>
        <w:szCs w:val="28"/>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nsid w:val="674758DB"/>
    <w:multiLevelType w:val="hybridMultilevel"/>
    <w:tmpl w:val="97A04E60"/>
    <w:lvl w:ilvl="0" w:tplc="1B12D5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09303CB"/>
    <w:multiLevelType w:val="multilevel"/>
    <w:tmpl w:val="D65C2776"/>
    <w:lvl w:ilvl="0">
      <w:start w:val="1"/>
      <w:numFmt w:val="upperRoman"/>
      <w:lvlText w:val="%1."/>
      <w:lvlJc w:val="left"/>
      <w:pPr>
        <w:tabs>
          <w:tab w:val="num" w:pos="851"/>
        </w:tabs>
        <w:ind w:left="851" w:hanging="851"/>
      </w:pPr>
      <w:rPr>
        <w:rFonts w:ascii="Times New Roman" w:hAnsi="Times New Roman" w:hint="default"/>
        <w:b/>
        <w:i w:val="0"/>
        <w:sz w:val="28"/>
        <w:szCs w:val="28"/>
        <w:u w:val="none"/>
      </w:rPr>
    </w:lvl>
    <w:lvl w:ilvl="1">
      <w:start w:val="1"/>
      <w:numFmt w:val="decimal"/>
      <w:lvlRestart w:val="0"/>
      <w:lvlText w:val="%2."/>
      <w:lvlJc w:val="left"/>
      <w:pPr>
        <w:tabs>
          <w:tab w:val="num" w:pos="567"/>
        </w:tabs>
        <w:ind w:left="567" w:hanging="567"/>
      </w:pPr>
      <w:rPr>
        <w:rFonts w:ascii="Times New Roman" w:hAnsi="Times New Roman" w:hint="default"/>
        <w:b/>
        <w:i w:val="0"/>
        <w:sz w:val="24"/>
        <w:szCs w:val="20"/>
        <w:u w:val="none"/>
      </w:rPr>
    </w:lvl>
    <w:lvl w:ilvl="2">
      <w:start w:val="1"/>
      <w:numFmt w:val="lowerRoman"/>
      <w:lvlText w:val="%3."/>
      <w:lvlJc w:val="right"/>
      <w:pPr>
        <w:tabs>
          <w:tab w:val="num" w:pos="2160"/>
        </w:tabs>
        <w:ind w:left="2160" w:hanging="180"/>
      </w:pPr>
      <w:rPr>
        <w:rFonts w:hint="default"/>
      </w:rPr>
    </w:lvl>
    <w:lvl w:ilvl="3">
      <w:start w:val="1"/>
      <w:numFmt w:val="decimal"/>
      <w:lvlText w:val="RRJ-%4."/>
      <w:lvlJc w:val="left"/>
      <w:pPr>
        <w:tabs>
          <w:tab w:val="num" w:pos="2880"/>
        </w:tabs>
        <w:ind w:left="2880" w:hanging="360"/>
      </w:pPr>
      <w:rPr>
        <w:rFonts w:hint="default"/>
        <w:b/>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b/>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7">
    <w:nsid w:val="72BF6849"/>
    <w:multiLevelType w:val="hybridMultilevel"/>
    <w:tmpl w:val="97A04E60"/>
    <w:lvl w:ilvl="0" w:tplc="1B12D5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num>
  <w:num w:numId="2">
    <w:abstractNumId w:val="41"/>
  </w:num>
  <w:num w:numId="3">
    <w:abstractNumId w:val="44"/>
  </w:num>
  <w:num w:numId="4">
    <w:abstractNumId w:val="46"/>
  </w:num>
  <w:num w:numId="5">
    <w:abstractNumId w:val="39"/>
  </w:num>
  <w:num w:numId="6">
    <w:abstractNumId w:val="31"/>
  </w:num>
  <w:num w:numId="7">
    <w:abstractNumId w:val="26"/>
  </w:num>
  <w:num w:numId="8">
    <w:abstractNumId w:val="35"/>
  </w:num>
  <w:num w:numId="9">
    <w:abstractNumId w:val="10"/>
  </w:num>
  <w:num w:numId="10">
    <w:abstractNumId w:val="9"/>
  </w:num>
  <w:num w:numId="11">
    <w:abstractNumId w:val="8"/>
  </w:num>
  <w:num w:numId="12">
    <w:abstractNumId w:val="18"/>
  </w:num>
  <w:num w:numId="13">
    <w:abstractNumId w:val="36"/>
  </w:num>
  <w:num w:numId="14">
    <w:abstractNumId w:val="27"/>
  </w:num>
  <w:num w:numId="15">
    <w:abstractNumId w:val="14"/>
  </w:num>
  <w:num w:numId="16">
    <w:abstractNumId w:val="34"/>
  </w:num>
  <w:num w:numId="17">
    <w:abstractNumId w:val="23"/>
  </w:num>
  <w:num w:numId="18">
    <w:abstractNumId w:val="29"/>
  </w:num>
  <w:num w:numId="19">
    <w:abstractNumId w:val="38"/>
  </w:num>
  <w:num w:numId="20">
    <w:abstractNumId w:val="37"/>
  </w:num>
  <w:num w:numId="21">
    <w:abstractNumId w:val="21"/>
  </w:num>
  <w:num w:numId="22">
    <w:abstractNumId w:val="25"/>
  </w:num>
  <w:num w:numId="23">
    <w:abstractNumId w:val="7"/>
  </w:num>
  <w:num w:numId="24">
    <w:abstractNumId w:val="5"/>
  </w:num>
  <w:num w:numId="25">
    <w:abstractNumId w:val="6"/>
  </w:num>
  <w:num w:numId="26">
    <w:abstractNumId w:val="3"/>
  </w:num>
  <w:num w:numId="27">
    <w:abstractNumId w:val="1"/>
  </w:num>
  <w:num w:numId="28">
    <w:abstractNumId w:val="17"/>
  </w:num>
  <w:num w:numId="29">
    <w:abstractNumId w:val="24"/>
  </w:num>
  <w:num w:numId="30">
    <w:abstractNumId w:val="2"/>
  </w:num>
  <w:num w:numId="31">
    <w:abstractNumId w:val="4"/>
  </w:num>
  <w:num w:numId="32">
    <w:abstractNumId w:val="33"/>
  </w:num>
  <w:num w:numId="33">
    <w:abstractNumId w:val="0"/>
  </w:num>
  <w:num w:numId="34">
    <w:abstractNumId w:val="40"/>
  </w:num>
  <w:num w:numId="35">
    <w:abstractNumId w:val="16"/>
  </w:num>
  <w:num w:numId="36">
    <w:abstractNumId w:val="22"/>
  </w:num>
  <w:num w:numId="37">
    <w:abstractNumId w:val="15"/>
  </w:num>
  <w:num w:numId="38">
    <w:abstractNumId w:val="20"/>
  </w:num>
  <w:num w:numId="39">
    <w:abstractNumId w:val="32"/>
  </w:num>
  <w:num w:numId="40">
    <w:abstractNumId w:val="12"/>
  </w:num>
  <w:num w:numId="41">
    <w:abstractNumId w:val="43"/>
  </w:num>
  <w:num w:numId="42">
    <w:abstractNumId w:val="42"/>
  </w:num>
  <w:num w:numId="43">
    <w:abstractNumId w:val="13"/>
  </w:num>
  <w:num w:numId="44">
    <w:abstractNumId w:val="45"/>
  </w:num>
  <w:num w:numId="45">
    <w:abstractNumId w:val="30"/>
  </w:num>
  <w:num w:numId="46">
    <w:abstractNumId w:val="47"/>
  </w:num>
  <w:num w:numId="47">
    <w:abstractNumId w:val="11"/>
  </w:num>
  <w:num w:numId="48">
    <w:abstractNumId w:val="2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hyphenationZone w:val="425"/>
  <w:drawingGridHorizontalSpacing w:val="120"/>
  <w:displayHorizontalDrawingGridEvery w:val="2"/>
  <w:displayVerticalDrawingGridEvery w:val="2"/>
  <w:noPunctuationKerning/>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3EC3"/>
    <w:rsid w:val="00000737"/>
    <w:rsid w:val="00000B45"/>
    <w:rsid w:val="00001DE8"/>
    <w:rsid w:val="00002A0D"/>
    <w:rsid w:val="00002C41"/>
    <w:rsid w:val="00002EB6"/>
    <w:rsid w:val="000033E5"/>
    <w:rsid w:val="000039C5"/>
    <w:rsid w:val="00005893"/>
    <w:rsid w:val="000058B6"/>
    <w:rsid w:val="00005A35"/>
    <w:rsid w:val="00006CD6"/>
    <w:rsid w:val="00007293"/>
    <w:rsid w:val="00007883"/>
    <w:rsid w:val="00007A60"/>
    <w:rsid w:val="000109F0"/>
    <w:rsid w:val="000120B2"/>
    <w:rsid w:val="00012830"/>
    <w:rsid w:val="00012B4C"/>
    <w:rsid w:val="000136E9"/>
    <w:rsid w:val="0001424C"/>
    <w:rsid w:val="00014791"/>
    <w:rsid w:val="00014FF1"/>
    <w:rsid w:val="000158F0"/>
    <w:rsid w:val="00015D2B"/>
    <w:rsid w:val="00016565"/>
    <w:rsid w:val="000168DD"/>
    <w:rsid w:val="00017227"/>
    <w:rsid w:val="000173DD"/>
    <w:rsid w:val="00020915"/>
    <w:rsid w:val="00020D3B"/>
    <w:rsid w:val="00021597"/>
    <w:rsid w:val="00023683"/>
    <w:rsid w:val="00023709"/>
    <w:rsid w:val="00023C90"/>
    <w:rsid w:val="00024568"/>
    <w:rsid w:val="00024734"/>
    <w:rsid w:val="00026334"/>
    <w:rsid w:val="00027238"/>
    <w:rsid w:val="000274F8"/>
    <w:rsid w:val="000276AE"/>
    <w:rsid w:val="0002790E"/>
    <w:rsid w:val="00027961"/>
    <w:rsid w:val="000302D4"/>
    <w:rsid w:val="00030689"/>
    <w:rsid w:val="00030B0E"/>
    <w:rsid w:val="00030B3D"/>
    <w:rsid w:val="00030D02"/>
    <w:rsid w:val="000312E7"/>
    <w:rsid w:val="000313DB"/>
    <w:rsid w:val="000316E8"/>
    <w:rsid w:val="0003186B"/>
    <w:rsid w:val="00035DA9"/>
    <w:rsid w:val="00036EAA"/>
    <w:rsid w:val="000372FE"/>
    <w:rsid w:val="00037711"/>
    <w:rsid w:val="00037B45"/>
    <w:rsid w:val="00037EAC"/>
    <w:rsid w:val="00040234"/>
    <w:rsid w:val="0004092E"/>
    <w:rsid w:val="00041421"/>
    <w:rsid w:val="000417C3"/>
    <w:rsid w:val="00044261"/>
    <w:rsid w:val="0004458E"/>
    <w:rsid w:val="00045DEA"/>
    <w:rsid w:val="00046A11"/>
    <w:rsid w:val="00046C8A"/>
    <w:rsid w:val="000476B7"/>
    <w:rsid w:val="000477CD"/>
    <w:rsid w:val="0004784C"/>
    <w:rsid w:val="000479FD"/>
    <w:rsid w:val="00050883"/>
    <w:rsid w:val="00050B33"/>
    <w:rsid w:val="000511E3"/>
    <w:rsid w:val="000513AC"/>
    <w:rsid w:val="00051779"/>
    <w:rsid w:val="00051C22"/>
    <w:rsid w:val="00052504"/>
    <w:rsid w:val="0005348F"/>
    <w:rsid w:val="00054002"/>
    <w:rsid w:val="00054A50"/>
    <w:rsid w:val="00055244"/>
    <w:rsid w:val="0005590E"/>
    <w:rsid w:val="00055BD2"/>
    <w:rsid w:val="0005639F"/>
    <w:rsid w:val="00056530"/>
    <w:rsid w:val="000567B5"/>
    <w:rsid w:val="000573AC"/>
    <w:rsid w:val="000573E4"/>
    <w:rsid w:val="000578F7"/>
    <w:rsid w:val="00060443"/>
    <w:rsid w:val="000609BD"/>
    <w:rsid w:val="00060C9C"/>
    <w:rsid w:val="00063241"/>
    <w:rsid w:val="0006359A"/>
    <w:rsid w:val="00063AB1"/>
    <w:rsid w:val="00063B2B"/>
    <w:rsid w:val="000653FC"/>
    <w:rsid w:val="00066549"/>
    <w:rsid w:val="00067451"/>
    <w:rsid w:val="00070459"/>
    <w:rsid w:val="00070DEC"/>
    <w:rsid w:val="00071148"/>
    <w:rsid w:val="00071D37"/>
    <w:rsid w:val="00072856"/>
    <w:rsid w:val="00072F02"/>
    <w:rsid w:val="00072F41"/>
    <w:rsid w:val="00073132"/>
    <w:rsid w:val="000742A9"/>
    <w:rsid w:val="00074B73"/>
    <w:rsid w:val="000753D5"/>
    <w:rsid w:val="00076DA9"/>
    <w:rsid w:val="0007753D"/>
    <w:rsid w:val="00077E09"/>
    <w:rsid w:val="000800CB"/>
    <w:rsid w:val="00081810"/>
    <w:rsid w:val="0008209D"/>
    <w:rsid w:val="000823C4"/>
    <w:rsid w:val="000829B3"/>
    <w:rsid w:val="00082C25"/>
    <w:rsid w:val="0008317D"/>
    <w:rsid w:val="0008337E"/>
    <w:rsid w:val="00083715"/>
    <w:rsid w:val="00083DB9"/>
    <w:rsid w:val="00084146"/>
    <w:rsid w:val="0008438B"/>
    <w:rsid w:val="00084B3A"/>
    <w:rsid w:val="00084E46"/>
    <w:rsid w:val="00085F71"/>
    <w:rsid w:val="00086374"/>
    <w:rsid w:val="000866DA"/>
    <w:rsid w:val="0008696F"/>
    <w:rsid w:val="0008793E"/>
    <w:rsid w:val="00087CF6"/>
    <w:rsid w:val="00090074"/>
    <w:rsid w:val="00090172"/>
    <w:rsid w:val="000902EE"/>
    <w:rsid w:val="00090C02"/>
    <w:rsid w:val="00091918"/>
    <w:rsid w:val="00091AF5"/>
    <w:rsid w:val="00091D15"/>
    <w:rsid w:val="00092F3A"/>
    <w:rsid w:val="00093EE6"/>
    <w:rsid w:val="00094669"/>
    <w:rsid w:val="000949CF"/>
    <w:rsid w:val="0009504B"/>
    <w:rsid w:val="0009527A"/>
    <w:rsid w:val="00095802"/>
    <w:rsid w:val="00095D4E"/>
    <w:rsid w:val="00096E92"/>
    <w:rsid w:val="00097091"/>
    <w:rsid w:val="00097475"/>
    <w:rsid w:val="00097C2F"/>
    <w:rsid w:val="000A0385"/>
    <w:rsid w:val="000A0393"/>
    <w:rsid w:val="000A1A1E"/>
    <w:rsid w:val="000A1DF1"/>
    <w:rsid w:val="000A27C5"/>
    <w:rsid w:val="000A287E"/>
    <w:rsid w:val="000A3317"/>
    <w:rsid w:val="000A4DFA"/>
    <w:rsid w:val="000A5323"/>
    <w:rsid w:val="000A5356"/>
    <w:rsid w:val="000A5E83"/>
    <w:rsid w:val="000A5F74"/>
    <w:rsid w:val="000A61F7"/>
    <w:rsid w:val="000A6EB6"/>
    <w:rsid w:val="000A7494"/>
    <w:rsid w:val="000B0870"/>
    <w:rsid w:val="000B0AEA"/>
    <w:rsid w:val="000B1DCA"/>
    <w:rsid w:val="000B20EC"/>
    <w:rsid w:val="000B2C09"/>
    <w:rsid w:val="000B2D9B"/>
    <w:rsid w:val="000B317A"/>
    <w:rsid w:val="000B31A2"/>
    <w:rsid w:val="000B3240"/>
    <w:rsid w:val="000B3389"/>
    <w:rsid w:val="000B3808"/>
    <w:rsid w:val="000B445C"/>
    <w:rsid w:val="000B4927"/>
    <w:rsid w:val="000B4C4E"/>
    <w:rsid w:val="000B57F6"/>
    <w:rsid w:val="000B627A"/>
    <w:rsid w:val="000B6BF9"/>
    <w:rsid w:val="000B7CBC"/>
    <w:rsid w:val="000B7DA5"/>
    <w:rsid w:val="000C0852"/>
    <w:rsid w:val="000C141E"/>
    <w:rsid w:val="000C3367"/>
    <w:rsid w:val="000C3743"/>
    <w:rsid w:val="000C4030"/>
    <w:rsid w:val="000C55BE"/>
    <w:rsid w:val="000C58B4"/>
    <w:rsid w:val="000C58D2"/>
    <w:rsid w:val="000C606F"/>
    <w:rsid w:val="000C66ED"/>
    <w:rsid w:val="000C709D"/>
    <w:rsid w:val="000C779A"/>
    <w:rsid w:val="000C7889"/>
    <w:rsid w:val="000C79AD"/>
    <w:rsid w:val="000D0557"/>
    <w:rsid w:val="000D1275"/>
    <w:rsid w:val="000D1E2B"/>
    <w:rsid w:val="000D42C8"/>
    <w:rsid w:val="000D4ADB"/>
    <w:rsid w:val="000D5D06"/>
    <w:rsid w:val="000D61F5"/>
    <w:rsid w:val="000D6E2C"/>
    <w:rsid w:val="000D6E89"/>
    <w:rsid w:val="000D76FE"/>
    <w:rsid w:val="000E0731"/>
    <w:rsid w:val="000E110F"/>
    <w:rsid w:val="000E11D9"/>
    <w:rsid w:val="000E1FBC"/>
    <w:rsid w:val="000E24B3"/>
    <w:rsid w:val="000E24C7"/>
    <w:rsid w:val="000E3AE8"/>
    <w:rsid w:val="000E434C"/>
    <w:rsid w:val="000E5A83"/>
    <w:rsid w:val="000E623B"/>
    <w:rsid w:val="000E62E3"/>
    <w:rsid w:val="000E6BFB"/>
    <w:rsid w:val="000E6C56"/>
    <w:rsid w:val="000E7E9A"/>
    <w:rsid w:val="000E7F17"/>
    <w:rsid w:val="000E7FE3"/>
    <w:rsid w:val="000F02BA"/>
    <w:rsid w:val="000F03E3"/>
    <w:rsid w:val="000F03E4"/>
    <w:rsid w:val="000F0C60"/>
    <w:rsid w:val="000F0D02"/>
    <w:rsid w:val="000F1C9B"/>
    <w:rsid w:val="000F218C"/>
    <w:rsid w:val="000F2835"/>
    <w:rsid w:val="000F2DB1"/>
    <w:rsid w:val="000F3DBF"/>
    <w:rsid w:val="000F3F9B"/>
    <w:rsid w:val="000F4336"/>
    <w:rsid w:val="000F44B6"/>
    <w:rsid w:val="000F4FDE"/>
    <w:rsid w:val="000F6575"/>
    <w:rsid w:val="000F6AE1"/>
    <w:rsid w:val="000F7B06"/>
    <w:rsid w:val="0010029D"/>
    <w:rsid w:val="001006C6"/>
    <w:rsid w:val="001007B0"/>
    <w:rsid w:val="00101B4F"/>
    <w:rsid w:val="001021C6"/>
    <w:rsid w:val="001025E3"/>
    <w:rsid w:val="00102731"/>
    <w:rsid w:val="001027F3"/>
    <w:rsid w:val="00102FBB"/>
    <w:rsid w:val="0010377C"/>
    <w:rsid w:val="00103CE8"/>
    <w:rsid w:val="00103D05"/>
    <w:rsid w:val="001046D2"/>
    <w:rsid w:val="001050A4"/>
    <w:rsid w:val="001054ED"/>
    <w:rsid w:val="00105FCF"/>
    <w:rsid w:val="001061D4"/>
    <w:rsid w:val="00106A3A"/>
    <w:rsid w:val="00106B69"/>
    <w:rsid w:val="00107BDD"/>
    <w:rsid w:val="00110228"/>
    <w:rsid w:val="001110C5"/>
    <w:rsid w:val="001115EE"/>
    <w:rsid w:val="00112368"/>
    <w:rsid w:val="001128A4"/>
    <w:rsid w:val="00112B1A"/>
    <w:rsid w:val="0011347B"/>
    <w:rsid w:val="00113656"/>
    <w:rsid w:val="00114CE8"/>
    <w:rsid w:val="00115406"/>
    <w:rsid w:val="0011594E"/>
    <w:rsid w:val="001173D6"/>
    <w:rsid w:val="00121088"/>
    <w:rsid w:val="00121281"/>
    <w:rsid w:val="0012137C"/>
    <w:rsid w:val="00121658"/>
    <w:rsid w:val="00121A68"/>
    <w:rsid w:val="00122565"/>
    <w:rsid w:val="00122E30"/>
    <w:rsid w:val="00123358"/>
    <w:rsid w:val="00123DD7"/>
    <w:rsid w:val="00124177"/>
    <w:rsid w:val="001248E0"/>
    <w:rsid w:val="00124AB5"/>
    <w:rsid w:val="00124D28"/>
    <w:rsid w:val="0012521F"/>
    <w:rsid w:val="001259AA"/>
    <w:rsid w:val="00125E04"/>
    <w:rsid w:val="00127C3B"/>
    <w:rsid w:val="00127D77"/>
    <w:rsid w:val="001315EE"/>
    <w:rsid w:val="00131B47"/>
    <w:rsid w:val="00132062"/>
    <w:rsid w:val="001321C9"/>
    <w:rsid w:val="001327FE"/>
    <w:rsid w:val="00132BE3"/>
    <w:rsid w:val="00133E29"/>
    <w:rsid w:val="001352C0"/>
    <w:rsid w:val="00135484"/>
    <w:rsid w:val="00135518"/>
    <w:rsid w:val="00135829"/>
    <w:rsid w:val="001358CD"/>
    <w:rsid w:val="00135B7A"/>
    <w:rsid w:val="00135F41"/>
    <w:rsid w:val="00136DF6"/>
    <w:rsid w:val="00137371"/>
    <w:rsid w:val="001376EB"/>
    <w:rsid w:val="00137D5E"/>
    <w:rsid w:val="00140882"/>
    <w:rsid w:val="00140BA1"/>
    <w:rsid w:val="00140FB9"/>
    <w:rsid w:val="0014265C"/>
    <w:rsid w:val="001430E8"/>
    <w:rsid w:val="001438F5"/>
    <w:rsid w:val="00143B48"/>
    <w:rsid w:val="00144884"/>
    <w:rsid w:val="00144EA1"/>
    <w:rsid w:val="00145C15"/>
    <w:rsid w:val="0014653F"/>
    <w:rsid w:val="00146FA1"/>
    <w:rsid w:val="00147247"/>
    <w:rsid w:val="00147C59"/>
    <w:rsid w:val="001503D2"/>
    <w:rsid w:val="00150A7E"/>
    <w:rsid w:val="001523A4"/>
    <w:rsid w:val="00152E55"/>
    <w:rsid w:val="00153E5D"/>
    <w:rsid w:val="00154083"/>
    <w:rsid w:val="00154CC6"/>
    <w:rsid w:val="00157562"/>
    <w:rsid w:val="00157DAA"/>
    <w:rsid w:val="00157E68"/>
    <w:rsid w:val="0016026C"/>
    <w:rsid w:val="00160D6E"/>
    <w:rsid w:val="001613D7"/>
    <w:rsid w:val="00161D1B"/>
    <w:rsid w:val="00161E78"/>
    <w:rsid w:val="00162509"/>
    <w:rsid w:val="00162978"/>
    <w:rsid w:val="00162BDF"/>
    <w:rsid w:val="00164968"/>
    <w:rsid w:val="00165042"/>
    <w:rsid w:val="00165300"/>
    <w:rsid w:val="0016538B"/>
    <w:rsid w:val="001665D4"/>
    <w:rsid w:val="00166B10"/>
    <w:rsid w:val="00166FB8"/>
    <w:rsid w:val="00167B9C"/>
    <w:rsid w:val="00167DDF"/>
    <w:rsid w:val="001706F6"/>
    <w:rsid w:val="00173246"/>
    <w:rsid w:val="00173BB2"/>
    <w:rsid w:val="00173E58"/>
    <w:rsid w:val="0017402F"/>
    <w:rsid w:val="00174B68"/>
    <w:rsid w:val="00174CDD"/>
    <w:rsid w:val="00175851"/>
    <w:rsid w:val="00175AB1"/>
    <w:rsid w:val="00175BB0"/>
    <w:rsid w:val="00175C10"/>
    <w:rsid w:val="00175EB2"/>
    <w:rsid w:val="001761FD"/>
    <w:rsid w:val="001765AF"/>
    <w:rsid w:val="001772C8"/>
    <w:rsid w:val="0018106D"/>
    <w:rsid w:val="001811DD"/>
    <w:rsid w:val="00181328"/>
    <w:rsid w:val="00182400"/>
    <w:rsid w:val="0018240F"/>
    <w:rsid w:val="00182C9C"/>
    <w:rsid w:val="00183397"/>
    <w:rsid w:val="00183B5A"/>
    <w:rsid w:val="001849D0"/>
    <w:rsid w:val="00184E37"/>
    <w:rsid w:val="00185197"/>
    <w:rsid w:val="001853F0"/>
    <w:rsid w:val="001861F1"/>
    <w:rsid w:val="001872E6"/>
    <w:rsid w:val="0019071A"/>
    <w:rsid w:val="0019071E"/>
    <w:rsid w:val="001908C9"/>
    <w:rsid w:val="00190A8C"/>
    <w:rsid w:val="00191172"/>
    <w:rsid w:val="00191422"/>
    <w:rsid w:val="0019169B"/>
    <w:rsid w:val="00191C8D"/>
    <w:rsid w:val="00192953"/>
    <w:rsid w:val="00192EA2"/>
    <w:rsid w:val="0019317C"/>
    <w:rsid w:val="001932CB"/>
    <w:rsid w:val="00193CF4"/>
    <w:rsid w:val="001942B1"/>
    <w:rsid w:val="001947D9"/>
    <w:rsid w:val="0019521E"/>
    <w:rsid w:val="001957B8"/>
    <w:rsid w:val="00196B7E"/>
    <w:rsid w:val="00197108"/>
    <w:rsid w:val="00197279"/>
    <w:rsid w:val="00197A15"/>
    <w:rsid w:val="001A14A1"/>
    <w:rsid w:val="001A16CE"/>
    <w:rsid w:val="001A1BDB"/>
    <w:rsid w:val="001A1CAD"/>
    <w:rsid w:val="001A1F81"/>
    <w:rsid w:val="001A286A"/>
    <w:rsid w:val="001A3EE0"/>
    <w:rsid w:val="001A405C"/>
    <w:rsid w:val="001A5046"/>
    <w:rsid w:val="001A5BED"/>
    <w:rsid w:val="001A5CF4"/>
    <w:rsid w:val="001A5ED6"/>
    <w:rsid w:val="001A711A"/>
    <w:rsid w:val="001A7EF7"/>
    <w:rsid w:val="001B05AE"/>
    <w:rsid w:val="001B09F0"/>
    <w:rsid w:val="001B10FB"/>
    <w:rsid w:val="001B1E68"/>
    <w:rsid w:val="001B21A7"/>
    <w:rsid w:val="001B2318"/>
    <w:rsid w:val="001B3386"/>
    <w:rsid w:val="001B4973"/>
    <w:rsid w:val="001B546C"/>
    <w:rsid w:val="001B549D"/>
    <w:rsid w:val="001B59D2"/>
    <w:rsid w:val="001B637C"/>
    <w:rsid w:val="001B76C3"/>
    <w:rsid w:val="001B7FE1"/>
    <w:rsid w:val="001C1C7F"/>
    <w:rsid w:val="001C1E08"/>
    <w:rsid w:val="001C1F16"/>
    <w:rsid w:val="001C201E"/>
    <w:rsid w:val="001C20F0"/>
    <w:rsid w:val="001C3C31"/>
    <w:rsid w:val="001C4D00"/>
    <w:rsid w:val="001C4E53"/>
    <w:rsid w:val="001C5038"/>
    <w:rsid w:val="001C61B3"/>
    <w:rsid w:val="001C6A85"/>
    <w:rsid w:val="001C6CD9"/>
    <w:rsid w:val="001C7387"/>
    <w:rsid w:val="001C7757"/>
    <w:rsid w:val="001D0011"/>
    <w:rsid w:val="001D079F"/>
    <w:rsid w:val="001D12F3"/>
    <w:rsid w:val="001D1439"/>
    <w:rsid w:val="001D15ED"/>
    <w:rsid w:val="001D175C"/>
    <w:rsid w:val="001D179C"/>
    <w:rsid w:val="001D2F9D"/>
    <w:rsid w:val="001D36DE"/>
    <w:rsid w:val="001D36F4"/>
    <w:rsid w:val="001D3D00"/>
    <w:rsid w:val="001D3E24"/>
    <w:rsid w:val="001D45C1"/>
    <w:rsid w:val="001D4783"/>
    <w:rsid w:val="001D48FC"/>
    <w:rsid w:val="001D5231"/>
    <w:rsid w:val="001D55EA"/>
    <w:rsid w:val="001D5CDA"/>
    <w:rsid w:val="001D677E"/>
    <w:rsid w:val="001D68F8"/>
    <w:rsid w:val="001D6A6D"/>
    <w:rsid w:val="001E0205"/>
    <w:rsid w:val="001E02B1"/>
    <w:rsid w:val="001E1215"/>
    <w:rsid w:val="001E1552"/>
    <w:rsid w:val="001E1EC7"/>
    <w:rsid w:val="001E1F28"/>
    <w:rsid w:val="001E2146"/>
    <w:rsid w:val="001E2323"/>
    <w:rsid w:val="001E2D4C"/>
    <w:rsid w:val="001E3FBF"/>
    <w:rsid w:val="001E46DF"/>
    <w:rsid w:val="001E4842"/>
    <w:rsid w:val="001E4984"/>
    <w:rsid w:val="001E4EBA"/>
    <w:rsid w:val="001E59DA"/>
    <w:rsid w:val="001E6B47"/>
    <w:rsid w:val="001E71D8"/>
    <w:rsid w:val="001F1366"/>
    <w:rsid w:val="001F13E5"/>
    <w:rsid w:val="001F2034"/>
    <w:rsid w:val="001F250F"/>
    <w:rsid w:val="001F2DCD"/>
    <w:rsid w:val="001F3C2D"/>
    <w:rsid w:val="001F4369"/>
    <w:rsid w:val="001F43B9"/>
    <w:rsid w:val="001F5096"/>
    <w:rsid w:val="001F52FE"/>
    <w:rsid w:val="001F5A23"/>
    <w:rsid w:val="001F5A3F"/>
    <w:rsid w:val="001F6485"/>
    <w:rsid w:val="001F6831"/>
    <w:rsid w:val="0020043A"/>
    <w:rsid w:val="002008F7"/>
    <w:rsid w:val="00201242"/>
    <w:rsid w:val="00201842"/>
    <w:rsid w:val="00201957"/>
    <w:rsid w:val="00201C2F"/>
    <w:rsid w:val="00202877"/>
    <w:rsid w:val="00203009"/>
    <w:rsid w:val="002034F7"/>
    <w:rsid w:val="00204762"/>
    <w:rsid w:val="00205A21"/>
    <w:rsid w:val="00205B2D"/>
    <w:rsid w:val="00206D7B"/>
    <w:rsid w:val="0020738C"/>
    <w:rsid w:val="002103E9"/>
    <w:rsid w:val="00210BF1"/>
    <w:rsid w:val="00210CA5"/>
    <w:rsid w:val="00211E22"/>
    <w:rsid w:val="00211F27"/>
    <w:rsid w:val="002129C4"/>
    <w:rsid w:val="00212AC7"/>
    <w:rsid w:val="0021318B"/>
    <w:rsid w:val="00213EDC"/>
    <w:rsid w:val="0021426E"/>
    <w:rsid w:val="00214D13"/>
    <w:rsid w:val="00214E82"/>
    <w:rsid w:val="002157FB"/>
    <w:rsid w:val="002158EC"/>
    <w:rsid w:val="00215CFF"/>
    <w:rsid w:val="00216637"/>
    <w:rsid w:val="002174F8"/>
    <w:rsid w:val="00217A2C"/>
    <w:rsid w:val="002200D7"/>
    <w:rsid w:val="00220103"/>
    <w:rsid w:val="00221215"/>
    <w:rsid w:val="002212AF"/>
    <w:rsid w:val="002214DA"/>
    <w:rsid w:val="00222938"/>
    <w:rsid w:val="00222CB2"/>
    <w:rsid w:val="00225487"/>
    <w:rsid w:val="002265FE"/>
    <w:rsid w:val="00227BEC"/>
    <w:rsid w:val="00230A88"/>
    <w:rsid w:val="00230AAE"/>
    <w:rsid w:val="00230F96"/>
    <w:rsid w:val="00231035"/>
    <w:rsid w:val="002317DB"/>
    <w:rsid w:val="0023241E"/>
    <w:rsid w:val="00232A64"/>
    <w:rsid w:val="00232C5A"/>
    <w:rsid w:val="00233F29"/>
    <w:rsid w:val="002346DD"/>
    <w:rsid w:val="00234860"/>
    <w:rsid w:val="0023552A"/>
    <w:rsid w:val="002362AF"/>
    <w:rsid w:val="00236620"/>
    <w:rsid w:val="002368F2"/>
    <w:rsid w:val="00236BC7"/>
    <w:rsid w:val="00236DCE"/>
    <w:rsid w:val="002370BB"/>
    <w:rsid w:val="00237B0D"/>
    <w:rsid w:val="00237C9E"/>
    <w:rsid w:val="00240175"/>
    <w:rsid w:val="002401A0"/>
    <w:rsid w:val="00240820"/>
    <w:rsid w:val="00240FC8"/>
    <w:rsid w:val="00241C1F"/>
    <w:rsid w:val="00241DC5"/>
    <w:rsid w:val="002422C0"/>
    <w:rsid w:val="00242709"/>
    <w:rsid w:val="00242C6D"/>
    <w:rsid w:val="00243730"/>
    <w:rsid w:val="00244C27"/>
    <w:rsid w:val="00244D6D"/>
    <w:rsid w:val="002452F3"/>
    <w:rsid w:val="002455D1"/>
    <w:rsid w:val="00245D1E"/>
    <w:rsid w:val="00246704"/>
    <w:rsid w:val="00246BAD"/>
    <w:rsid w:val="002504A5"/>
    <w:rsid w:val="00250BA8"/>
    <w:rsid w:val="002525CB"/>
    <w:rsid w:val="00252805"/>
    <w:rsid w:val="00252C35"/>
    <w:rsid w:val="00252D37"/>
    <w:rsid w:val="00253655"/>
    <w:rsid w:val="00253D27"/>
    <w:rsid w:val="00253FFA"/>
    <w:rsid w:val="0025405D"/>
    <w:rsid w:val="00254774"/>
    <w:rsid w:val="00254D56"/>
    <w:rsid w:val="00254ED9"/>
    <w:rsid w:val="00254F22"/>
    <w:rsid w:val="002551AF"/>
    <w:rsid w:val="002552C8"/>
    <w:rsid w:val="00256275"/>
    <w:rsid w:val="0025627B"/>
    <w:rsid w:val="00256476"/>
    <w:rsid w:val="002565B6"/>
    <w:rsid w:val="00256D27"/>
    <w:rsid w:val="0025716D"/>
    <w:rsid w:val="00257312"/>
    <w:rsid w:val="0025744F"/>
    <w:rsid w:val="00257765"/>
    <w:rsid w:val="0026004B"/>
    <w:rsid w:val="0026023D"/>
    <w:rsid w:val="00260907"/>
    <w:rsid w:val="00260E4A"/>
    <w:rsid w:val="0026125C"/>
    <w:rsid w:val="00261486"/>
    <w:rsid w:val="00261944"/>
    <w:rsid w:val="00261F63"/>
    <w:rsid w:val="0026226A"/>
    <w:rsid w:val="00262543"/>
    <w:rsid w:val="00263665"/>
    <w:rsid w:val="00264A67"/>
    <w:rsid w:val="00264FEB"/>
    <w:rsid w:val="0026605E"/>
    <w:rsid w:val="00267719"/>
    <w:rsid w:val="002678FE"/>
    <w:rsid w:val="0027037F"/>
    <w:rsid w:val="002703EC"/>
    <w:rsid w:val="00270AAF"/>
    <w:rsid w:val="00270FCE"/>
    <w:rsid w:val="00271463"/>
    <w:rsid w:val="0027452F"/>
    <w:rsid w:val="002750D9"/>
    <w:rsid w:val="00275429"/>
    <w:rsid w:val="00275620"/>
    <w:rsid w:val="0027617C"/>
    <w:rsid w:val="00277F40"/>
    <w:rsid w:val="002802CE"/>
    <w:rsid w:val="00280D23"/>
    <w:rsid w:val="00280DC6"/>
    <w:rsid w:val="002811F0"/>
    <w:rsid w:val="00281387"/>
    <w:rsid w:val="00281C28"/>
    <w:rsid w:val="00282120"/>
    <w:rsid w:val="00282149"/>
    <w:rsid w:val="0028223E"/>
    <w:rsid w:val="0028249A"/>
    <w:rsid w:val="00282B0E"/>
    <w:rsid w:val="002835BE"/>
    <w:rsid w:val="00283678"/>
    <w:rsid w:val="00283B46"/>
    <w:rsid w:val="00283B80"/>
    <w:rsid w:val="00283D8B"/>
    <w:rsid w:val="002847D5"/>
    <w:rsid w:val="00284812"/>
    <w:rsid w:val="00284AE9"/>
    <w:rsid w:val="00284D10"/>
    <w:rsid w:val="00285016"/>
    <w:rsid w:val="00285414"/>
    <w:rsid w:val="002855EC"/>
    <w:rsid w:val="00286C68"/>
    <w:rsid w:val="00286ED2"/>
    <w:rsid w:val="00290661"/>
    <w:rsid w:val="00290989"/>
    <w:rsid w:val="00292F45"/>
    <w:rsid w:val="00292FEF"/>
    <w:rsid w:val="00293593"/>
    <w:rsid w:val="00293EED"/>
    <w:rsid w:val="00293FC3"/>
    <w:rsid w:val="0029433D"/>
    <w:rsid w:val="002953E7"/>
    <w:rsid w:val="00296B5B"/>
    <w:rsid w:val="00296BE7"/>
    <w:rsid w:val="002A0823"/>
    <w:rsid w:val="002A179E"/>
    <w:rsid w:val="002A17D8"/>
    <w:rsid w:val="002A1B58"/>
    <w:rsid w:val="002A1BA1"/>
    <w:rsid w:val="002A1CF3"/>
    <w:rsid w:val="002A1D54"/>
    <w:rsid w:val="002A21BC"/>
    <w:rsid w:val="002A2677"/>
    <w:rsid w:val="002A334F"/>
    <w:rsid w:val="002A356F"/>
    <w:rsid w:val="002A37C8"/>
    <w:rsid w:val="002A4147"/>
    <w:rsid w:val="002A4577"/>
    <w:rsid w:val="002A465B"/>
    <w:rsid w:val="002A467A"/>
    <w:rsid w:val="002A4A8A"/>
    <w:rsid w:val="002A4D5F"/>
    <w:rsid w:val="002A55C5"/>
    <w:rsid w:val="002A58D1"/>
    <w:rsid w:val="002A5D59"/>
    <w:rsid w:val="002A5F60"/>
    <w:rsid w:val="002A632B"/>
    <w:rsid w:val="002A6D1B"/>
    <w:rsid w:val="002A7162"/>
    <w:rsid w:val="002A74F9"/>
    <w:rsid w:val="002A7B6E"/>
    <w:rsid w:val="002B03EB"/>
    <w:rsid w:val="002B079E"/>
    <w:rsid w:val="002B07DE"/>
    <w:rsid w:val="002B07EF"/>
    <w:rsid w:val="002B09A6"/>
    <w:rsid w:val="002B198F"/>
    <w:rsid w:val="002B1BC2"/>
    <w:rsid w:val="002B2416"/>
    <w:rsid w:val="002B2662"/>
    <w:rsid w:val="002B26D2"/>
    <w:rsid w:val="002B2EA0"/>
    <w:rsid w:val="002B3140"/>
    <w:rsid w:val="002B3632"/>
    <w:rsid w:val="002B4537"/>
    <w:rsid w:val="002B4963"/>
    <w:rsid w:val="002B4E6B"/>
    <w:rsid w:val="002B510C"/>
    <w:rsid w:val="002B515F"/>
    <w:rsid w:val="002B58FF"/>
    <w:rsid w:val="002B60FE"/>
    <w:rsid w:val="002B6144"/>
    <w:rsid w:val="002B666A"/>
    <w:rsid w:val="002B7348"/>
    <w:rsid w:val="002C03D9"/>
    <w:rsid w:val="002C0BC3"/>
    <w:rsid w:val="002C1101"/>
    <w:rsid w:val="002C132F"/>
    <w:rsid w:val="002C259A"/>
    <w:rsid w:val="002C2EB9"/>
    <w:rsid w:val="002C43F5"/>
    <w:rsid w:val="002C47F8"/>
    <w:rsid w:val="002C71F7"/>
    <w:rsid w:val="002C7200"/>
    <w:rsid w:val="002C7546"/>
    <w:rsid w:val="002D0231"/>
    <w:rsid w:val="002D068C"/>
    <w:rsid w:val="002D0FD0"/>
    <w:rsid w:val="002D13D3"/>
    <w:rsid w:val="002D14C4"/>
    <w:rsid w:val="002D2089"/>
    <w:rsid w:val="002D24F4"/>
    <w:rsid w:val="002D3899"/>
    <w:rsid w:val="002D3F1D"/>
    <w:rsid w:val="002D4791"/>
    <w:rsid w:val="002D47DC"/>
    <w:rsid w:val="002D48B4"/>
    <w:rsid w:val="002D4DF5"/>
    <w:rsid w:val="002D4E00"/>
    <w:rsid w:val="002D50A6"/>
    <w:rsid w:val="002D54CB"/>
    <w:rsid w:val="002D5781"/>
    <w:rsid w:val="002D583B"/>
    <w:rsid w:val="002D5C71"/>
    <w:rsid w:val="002D5F89"/>
    <w:rsid w:val="002D60F2"/>
    <w:rsid w:val="002D6751"/>
    <w:rsid w:val="002D695B"/>
    <w:rsid w:val="002D6BF2"/>
    <w:rsid w:val="002D7AAF"/>
    <w:rsid w:val="002D7D77"/>
    <w:rsid w:val="002D7EF1"/>
    <w:rsid w:val="002E07B6"/>
    <w:rsid w:val="002E1212"/>
    <w:rsid w:val="002E1992"/>
    <w:rsid w:val="002E1A15"/>
    <w:rsid w:val="002E254E"/>
    <w:rsid w:val="002E2CDF"/>
    <w:rsid w:val="002E3173"/>
    <w:rsid w:val="002E35F0"/>
    <w:rsid w:val="002E3764"/>
    <w:rsid w:val="002E3D99"/>
    <w:rsid w:val="002E4342"/>
    <w:rsid w:val="002E4549"/>
    <w:rsid w:val="002E5DD1"/>
    <w:rsid w:val="002E5DEE"/>
    <w:rsid w:val="002E6B8E"/>
    <w:rsid w:val="002E7277"/>
    <w:rsid w:val="002E79AB"/>
    <w:rsid w:val="002E7AD3"/>
    <w:rsid w:val="002E7BCD"/>
    <w:rsid w:val="002F02CD"/>
    <w:rsid w:val="002F0B59"/>
    <w:rsid w:val="002F0D6D"/>
    <w:rsid w:val="002F142F"/>
    <w:rsid w:val="002F1D0D"/>
    <w:rsid w:val="002F1E25"/>
    <w:rsid w:val="002F2B39"/>
    <w:rsid w:val="002F34EB"/>
    <w:rsid w:val="002F3CC1"/>
    <w:rsid w:val="002F3EDD"/>
    <w:rsid w:val="002F47FA"/>
    <w:rsid w:val="002F511C"/>
    <w:rsid w:val="002F53C2"/>
    <w:rsid w:val="002F5623"/>
    <w:rsid w:val="002F6123"/>
    <w:rsid w:val="002F67F7"/>
    <w:rsid w:val="002F6C6E"/>
    <w:rsid w:val="002F6E3E"/>
    <w:rsid w:val="002F70D6"/>
    <w:rsid w:val="00300709"/>
    <w:rsid w:val="00300A76"/>
    <w:rsid w:val="00301993"/>
    <w:rsid w:val="00301C90"/>
    <w:rsid w:val="003024F0"/>
    <w:rsid w:val="003029C9"/>
    <w:rsid w:val="00302F98"/>
    <w:rsid w:val="003036B5"/>
    <w:rsid w:val="00304848"/>
    <w:rsid w:val="00304CCD"/>
    <w:rsid w:val="0030522A"/>
    <w:rsid w:val="0030564C"/>
    <w:rsid w:val="00305AA7"/>
    <w:rsid w:val="00305B2F"/>
    <w:rsid w:val="00307085"/>
    <w:rsid w:val="00307219"/>
    <w:rsid w:val="003072D4"/>
    <w:rsid w:val="0030733D"/>
    <w:rsid w:val="0030763B"/>
    <w:rsid w:val="00307BA8"/>
    <w:rsid w:val="00311D73"/>
    <w:rsid w:val="00313190"/>
    <w:rsid w:val="00313365"/>
    <w:rsid w:val="003133BE"/>
    <w:rsid w:val="003137F7"/>
    <w:rsid w:val="00313D96"/>
    <w:rsid w:val="003141F7"/>
    <w:rsid w:val="00314817"/>
    <w:rsid w:val="00314B1E"/>
    <w:rsid w:val="003153E6"/>
    <w:rsid w:val="00315C4D"/>
    <w:rsid w:val="00316F64"/>
    <w:rsid w:val="00317CB6"/>
    <w:rsid w:val="00320E7A"/>
    <w:rsid w:val="0032187D"/>
    <w:rsid w:val="00322454"/>
    <w:rsid w:val="00322455"/>
    <w:rsid w:val="00322A8D"/>
    <w:rsid w:val="0032314A"/>
    <w:rsid w:val="003233AA"/>
    <w:rsid w:val="00324111"/>
    <w:rsid w:val="00324530"/>
    <w:rsid w:val="003246F8"/>
    <w:rsid w:val="00325384"/>
    <w:rsid w:val="003253BD"/>
    <w:rsid w:val="00326586"/>
    <w:rsid w:val="003276FE"/>
    <w:rsid w:val="003310F5"/>
    <w:rsid w:val="003318DE"/>
    <w:rsid w:val="003326FF"/>
    <w:rsid w:val="00332EF8"/>
    <w:rsid w:val="00333485"/>
    <w:rsid w:val="003338D4"/>
    <w:rsid w:val="003350E2"/>
    <w:rsid w:val="00335280"/>
    <w:rsid w:val="0033529E"/>
    <w:rsid w:val="0033611E"/>
    <w:rsid w:val="0033767F"/>
    <w:rsid w:val="003376A2"/>
    <w:rsid w:val="00340127"/>
    <w:rsid w:val="00340297"/>
    <w:rsid w:val="003408D6"/>
    <w:rsid w:val="00340ECA"/>
    <w:rsid w:val="003417E4"/>
    <w:rsid w:val="00341AFE"/>
    <w:rsid w:val="00342505"/>
    <w:rsid w:val="00342DB3"/>
    <w:rsid w:val="00343010"/>
    <w:rsid w:val="00343AB1"/>
    <w:rsid w:val="00344088"/>
    <w:rsid w:val="00345968"/>
    <w:rsid w:val="00345D19"/>
    <w:rsid w:val="00346D92"/>
    <w:rsid w:val="00346F43"/>
    <w:rsid w:val="00347351"/>
    <w:rsid w:val="003479A3"/>
    <w:rsid w:val="00347BA3"/>
    <w:rsid w:val="00350BB3"/>
    <w:rsid w:val="00350F78"/>
    <w:rsid w:val="003511F7"/>
    <w:rsid w:val="00351416"/>
    <w:rsid w:val="00356AE9"/>
    <w:rsid w:val="00356B44"/>
    <w:rsid w:val="00356B80"/>
    <w:rsid w:val="00356F9D"/>
    <w:rsid w:val="00356FA4"/>
    <w:rsid w:val="0035728A"/>
    <w:rsid w:val="00360282"/>
    <w:rsid w:val="0036035F"/>
    <w:rsid w:val="0036086A"/>
    <w:rsid w:val="003617BE"/>
    <w:rsid w:val="00361838"/>
    <w:rsid w:val="00361991"/>
    <w:rsid w:val="00361B68"/>
    <w:rsid w:val="00361ECE"/>
    <w:rsid w:val="00362154"/>
    <w:rsid w:val="003626E8"/>
    <w:rsid w:val="00362761"/>
    <w:rsid w:val="00362E1C"/>
    <w:rsid w:val="00362F8F"/>
    <w:rsid w:val="00363556"/>
    <w:rsid w:val="00363CD4"/>
    <w:rsid w:val="00363E27"/>
    <w:rsid w:val="00364905"/>
    <w:rsid w:val="00365A85"/>
    <w:rsid w:val="00365B94"/>
    <w:rsid w:val="00366089"/>
    <w:rsid w:val="003668A1"/>
    <w:rsid w:val="0036758F"/>
    <w:rsid w:val="00367A8C"/>
    <w:rsid w:val="00367B99"/>
    <w:rsid w:val="00367E11"/>
    <w:rsid w:val="00371078"/>
    <w:rsid w:val="0037231F"/>
    <w:rsid w:val="00374173"/>
    <w:rsid w:val="0037469E"/>
    <w:rsid w:val="00374817"/>
    <w:rsid w:val="003755E5"/>
    <w:rsid w:val="0037689C"/>
    <w:rsid w:val="00377552"/>
    <w:rsid w:val="00377CE2"/>
    <w:rsid w:val="0038057C"/>
    <w:rsid w:val="00380826"/>
    <w:rsid w:val="00380F0B"/>
    <w:rsid w:val="00381C68"/>
    <w:rsid w:val="003831DF"/>
    <w:rsid w:val="00383571"/>
    <w:rsid w:val="00383CF2"/>
    <w:rsid w:val="00383D78"/>
    <w:rsid w:val="00383DB1"/>
    <w:rsid w:val="00383DFA"/>
    <w:rsid w:val="003845AB"/>
    <w:rsid w:val="00384655"/>
    <w:rsid w:val="00385C0D"/>
    <w:rsid w:val="00385C27"/>
    <w:rsid w:val="00386949"/>
    <w:rsid w:val="00387A5B"/>
    <w:rsid w:val="003901E8"/>
    <w:rsid w:val="0039040B"/>
    <w:rsid w:val="00391E23"/>
    <w:rsid w:val="00392A76"/>
    <w:rsid w:val="00392D23"/>
    <w:rsid w:val="00393CB2"/>
    <w:rsid w:val="00393F93"/>
    <w:rsid w:val="00394F79"/>
    <w:rsid w:val="0039684E"/>
    <w:rsid w:val="00396E3C"/>
    <w:rsid w:val="003A0032"/>
    <w:rsid w:val="003A075A"/>
    <w:rsid w:val="003A1A6F"/>
    <w:rsid w:val="003A1CBF"/>
    <w:rsid w:val="003A2243"/>
    <w:rsid w:val="003A2A05"/>
    <w:rsid w:val="003A2BE0"/>
    <w:rsid w:val="003A363C"/>
    <w:rsid w:val="003A4220"/>
    <w:rsid w:val="003A4919"/>
    <w:rsid w:val="003A4944"/>
    <w:rsid w:val="003A4D86"/>
    <w:rsid w:val="003A4DF8"/>
    <w:rsid w:val="003A4E1E"/>
    <w:rsid w:val="003A5548"/>
    <w:rsid w:val="003A6168"/>
    <w:rsid w:val="003A6A1C"/>
    <w:rsid w:val="003A7042"/>
    <w:rsid w:val="003A7657"/>
    <w:rsid w:val="003A7C21"/>
    <w:rsid w:val="003B046C"/>
    <w:rsid w:val="003B04BC"/>
    <w:rsid w:val="003B0677"/>
    <w:rsid w:val="003B0809"/>
    <w:rsid w:val="003B0B58"/>
    <w:rsid w:val="003B1A01"/>
    <w:rsid w:val="003B1DD3"/>
    <w:rsid w:val="003B2991"/>
    <w:rsid w:val="003B2B8A"/>
    <w:rsid w:val="003B3134"/>
    <w:rsid w:val="003B3547"/>
    <w:rsid w:val="003B4F35"/>
    <w:rsid w:val="003B59C0"/>
    <w:rsid w:val="003B6184"/>
    <w:rsid w:val="003B64D6"/>
    <w:rsid w:val="003B6E39"/>
    <w:rsid w:val="003B77FB"/>
    <w:rsid w:val="003C08FA"/>
    <w:rsid w:val="003C0A8F"/>
    <w:rsid w:val="003C28C1"/>
    <w:rsid w:val="003C29D0"/>
    <w:rsid w:val="003C2F52"/>
    <w:rsid w:val="003C5789"/>
    <w:rsid w:val="003C7551"/>
    <w:rsid w:val="003C7FE6"/>
    <w:rsid w:val="003D0241"/>
    <w:rsid w:val="003D07A6"/>
    <w:rsid w:val="003D13B9"/>
    <w:rsid w:val="003D1898"/>
    <w:rsid w:val="003D2329"/>
    <w:rsid w:val="003D2667"/>
    <w:rsid w:val="003D3283"/>
    <w:rsid w:val="003D3A13"/>
    <w:rsid w:val="003D43BD"/>
    <w:rsid w:val="003D5AE4"/>
    <w:rsid w:val="003D5C1F"/>
    <w:rsid w:val="003D623B"/>
    <w:rsid w:val="003D6245"/>
    <w:rsid w:val="003D6807"/>
    <w:rsid w:val="003D7FE1"/>
    <w:rsid w:val="003E058C"/>
    <w:rsid w:val="003E0741"/>
    <w:rsid w:val="003E0A82"/>
    <w:rsid w:val="003E11E3"/>
    <w:rsid w:val="003E2131"/>
    <w:rsid w:val="003E273D"/>
    <w:rsid w:val="003E2D29"/>
    <w:rsid w:val="003E33DC"/>
    <w:rsid w:val="003E56A2"/>
    <w:rsid w:val="003E6729"/>
    <w:rsid w:val="003E6FDC"/>
    <w:rsid w:val="003E7D31"/>
    <w:rsid w:val="003E7FA1"/>
    <w:rsid w:val="003F14F9"/>
    <w:rsid w:val="003F20CD"/>
    <w:rsid w:val="003F21F4"/>
    <w:rsid w:val="003F324A"/>
    <w:rsid w:val="003F415D"/>
    <w:rsid w:val="003F4887"/>
    <w:rsid w:val="003F4B3E"/>
    <w:rsid w:val="003F5164"/>
    <w:rsid w:val="003F51AB"/>
    <w:rsid w:val="003F64D5"/>
    <w:rsid w:val="003F66CF"/>
    <w:rsid w:val="003F695D"/>
    <w:rsid w:val="003F748B"/>
    <w:rsid w:val="003F76AC"/>
    <w:rsid w:val="003F7ED2"/>
    <w:rsid w:val="004008BA"/>
    <w:rsid w:val="004014AA"/>
    <w:rsid w:val="004017F9"/>
    <w:rsid w:val="0040192A"/>
    <w:rsid w:val="004020CD"/>
    <w:rsid w:val="004024FA"/>
    <w:rsid w:val="00402730"/>
    <w:rsid w:val="004027BF"/>
    <w:rsid w:val="00402C90"/>
    <w:rsid w:val="00403435"/>
    <w:rsid w:val="004034CF"/>
    <w:rsid w:val="004035E8"/>
    <w:rsid w:val="00403997"/>
    <w:rsid w:val="00403B6B"/>
    <w:rsid w:val="00403BFA"/>
    <w:rsid w:val="00404812"/>
    <w:rsid w:val="0040484B"/>
    <w:rsid w:val="0040613C"/>
    <w:rsid w:val="004061B8"/>
    <w:rsid w:val="004065FD"/>
    <w:rsid w:val="004069C6"/>
    <w:rsid w:val="0041035E"/>
    <w:rsid w:val="00410834"/>
    <w:rsid w:val="00411679"/>
    <w:rsid w:val="00411BEE"/>
    <w:rsid w:val="00411D9E"/>
    <w:rsid w:val="004121FC"/>
    <w:rsid w:val="00413AE8"/>
    <w:rsid w:val="00413C51"/>
    <w:rsid w:val="0041400C"/>
    <w:rsid w:val="0041419F"/>
    <w:rsid w:val="0041469E"/>
    <w:rsid w:val="00414779"/>
    <w:rsid w:val="004147FC"/>
    <w:rsid w:val="00414D8D"/>
    <w:rsid w:val="004178C7"/>
    <w:rsid w:val="0042001B"/>
    <w:rsid w:val="004207C6"/>
    <w:rsid w:val="004209CB"/>
    <w:rsid w:val="00420C21"/>
    <w:rsid w:val="00420E14"/>
    <w:rsid w:val="004211A5"/>
    <w:rsid w:val="0042156E"/>
    <w:rsid w:val="00421600"/>
    <w:rsid w:val="00421A4E"/>
    <w:rsid w:val="00422098"/>
    <w:rsid w:val="00422B85"/>
    <w:rsid w:val="004232A5"/>
    <w:rsid w:val="00423D1B"/>
    <w:rsid w:val="00423ECB"/>
    <w:rsid w:val="004240A4"/>
    <w:rsid w:val="00424663"/>
    <w:rsid w:val="00424F37"/>
    <w:rsid w:val="0042675F"/>
    <w:rsid w:val="0042684E"/>
    <w:rsid w:val="00426DC0"/>
    <w:rsid w:val="004270BF"/>
    <w:rsid w:val="004272A9"/>
    <w:rsid w:val="00427796"/>
    <w:rsid w:val="004303BC"/>
    <w:rsid w:val="004309F9"/>
    <w:rsid w:val="00430D4B"/>
    <w:rsid w:val="004318D7"/>
    <w:rsid w:val="004328B9"/>
    <w:rsid w:val="00433092"/>
    <w:rsid w:val="00433C64"/>
    <w:rsid w:val="00434478"/>
    <w:rsid w:val="00434CE6"/>
    <w:rsid w:val="00434F59"/>
    <w:rsid w:val="0043516A"/>
    <w:rsid w:val="00435424"/>
    <w:rsid w:val="00436868"/>
    <w:rsid w:val="00437170"/>
    <w:rsid w:val="00437ACA"/>
    <w:rsid w:val="0044184C"/>
    <w:rsid w:val="00442019"/>
    <w:rsid w:val="0044293F"/>
    <w:rsid w:val="00442B99"/>
    <w:rsid w:val="00442EC4"/>
    <w:rsid w:val="004430CB"/>
    <w:rsid w:val="00443292"/>
    <w:rsid w:val="004438B5"/>
    <w:rsid w:val="00444336"/>
    <w:rsid w:val="00445BC2"/>
    <w:rsid w:val="004466ED"/>
    <w:rsid w:val="004510F6"/>
    <w:rsid w:val="004514FC"/>
    <w:rsid w:val="00451F06"/>
    <w:rsid w:val="004537FF"/>
    <w:rsid w:val="0045424A"/>
    <w:rsid w:val="00454686"/>
    <w:rsid w:val="004549CF"/>
    <w:rsid w:val="004553FA"/>
    <w:rsid w:val="00455B4D"/>
    <w:rsid w:val="00455DC7"/>
    <w:rsid w:val="004565D8"/>
    <w:rsid w:val="004601EF"/>
    <w:rsid w:val="0046102E"/>
    <w:rsid w:val="004614C7"/>
    <w:rsid w:val="004619F9"/>
    <w:rsid w:val="00463E83"/>
    <w:rsid w:val="0046423C"/>
    <w:rsid w:val="004649AB"/>
    <w:rsid w:val="00464C14"/>
    <w:rsid w:val="00465083"/>
    <w:rsid w:val="004658FC"/>
    <w:rsid w:val="00465A97"/>
    <w:rsid w:val="00467B05"/>
    <w:rsid w:val="004700FC"/>
    <w:rsid w:val="00470102"/>
    <w:rsid w:val="004704CB"/>
    <w:rsid w:val="00470870"/>
    <w:rsid w:val="00472A67"/>
    <w:rsid w:val="00472CDD"/>
    <w:rsid w:val="00474A64"/>
    <w:rsid w:val="00474FAA"/>
    <w:rsid w:val="004750C5"/>
    <w:rsid w:val="0047511E"/>
    <w:rsid w:val="004753FD"/>
    <w:rsid w:val="00475C48"/>
    <w:rsid w:val="00475D83"/>
    <w:rsid w:val="00476487"/>
    <w:rsid w:val="00476C91"/>
    <w:rsid w:val="00477619"/>
    <w:rsid w:val="004776B5"/>
    <w:rsid w:val="0048000D"/>
    <w:rsid w:val="00480A47"/>
    <w:rsid w:val="00481991"/>
    <w:rsid w:val="00482144"/>
    <w:rsid w:val="00482882"/>
    <w:rsid w:val="004833E7"/>
    <w:rsid w:val="00483498"/>
    <w:rsid w:val="004835C2"/>
    <w:rsid w:val="00483E6F"/>
    <w:rsid w:val="004840E1"/>
    <w:rsid w:val="00485668"/>
    <w:rsid w:val="00486DE3"/>
    <w:rsid w:val="00486F67"/>
    <w:rsid w:val="00487599"/>
    <w:rsid w:val="00487F35"/>
    <w:rsid w:val="00490947"/>
    <w:rsid w:val="00490AEF"/>
    <w:rsid w:val="00490C14"/>
    <w:rsid w:val="00491293"/>
    <w:rsid w:val="004914A3"/>
    <w:rsid w:val="0049216E"/>
    <w:rsid w:val="00492476"/>
    <w:rsid w:val="004927A9"/>
    <w:rsid w:val="004927AC"/>
    <w:rsid w:val="004930AC"/>
    <w:rsid w:val="004935AC"/>
    <w:rsid w:val="00493ED4"/>
    <w:rsid w:val="00495728"/>
    <w:rsid w:val="004962A1"/>
    <w:rsid w:val="0049647E"/>
    <w:rsid w:val="00496526"/>
    <w:rsid w:val="00496A9F"/>
    <w:rsid w:val="0049745B"/>
    <w:rsid w:val="00497AF7"/>
    <w:rsid w:val="004A0EF6"/>
    <w:rsid w:val="004A2F83"/>
    <w:rsid w:val="004A3092"/>
    <w:rsid w:val="004A3BA9"/>
    <w:rsid w:val="004A3BCE"/>
    <w:rsid w:val="004A42D3"/>
    <w:rsid w:val="004A4482"/>
    <w:rsid w:val="004A4717"/>
    <w:rsid w:val="004A4E7D"/>
    <w:rsid w:val="004A5652"/>
    <w:rsid w:val="004A590A"/>
    <w:rsid w:val="004A68CA"/>
    <w:rsid w:val="004A7065"/>
    <w:rsid w:val="004A7258"/>
    <w:rsid w:val="004A7376"/>
    <w:rsid w:val="004A73B7"/>
    <w:rsid w:val="004A7635"/>
    <w:rsid w:val="004B02E3"/>
    <w:rsid w:val="004B0364"/>
    <w:rsid w:val="004B083D"/>
    <w:rsid w:val="004B09D8"/>
    <w:rsid w:val="004B0A2B"/>
    <w:rsid w:val="004B1257"/>
    <w:rsid w:val="004B1560"/>
    <w:rsid w:val="004B1F85"/>
    <w:rsid w:val="004B2A13"/>
    <w:rsid w:val="004B3479"/>
    <w:rsid w:val="004B5152"/>
    <w:rsid w:val="004B5CB1"/>
    <w:rsid w:val="004B5FA6"/>
    <w:rsid w:val="004B615C"/>
    <w:rsid w:val="004B623C"/>
    <w:rsid w:val="004B6422"/>
    <w:rsid w:val="004B65E7"/>
    <w:rsid w:val="004B6CBF"/>
    <w:rsid w:val="004B6D1D"/>
    <w:rsid w:val="004B6D76"/>
    <w:rsid w:val="004B711A"/>
    <w:rsid w:val="004B783A"/>
    <w:rsid w:val="004C0028"/>
    <w:rsid w:val="004C12ED"/>
    <w:rsid w:val="004C163A"/>
    <w:rsid w:val="004C187D"/>
    <w:rsid w:val="004C1E08"/>
    <w:rsid w:val="004C1E96"/>
    <w:rsid w:val="004C203E"/>
    <w:rsid w:val="004C228D"/>
    <w:rsid w:val="004C3B3D"/>
    <w:rsid w:val="004C3B9B"/>
    <w:rsid w:val="004C3D57"/>
    <w:rsid w:val="004C3E74"/>
    <w:rsid w:val="004C47D3"/>
    <w:rsid w:val="004C4C29"/>
    <w:rsid w:val="004C4DD9"/>
    <w:rsid w:val="004C5C79"/>
    <w:rsid w:val="004C64BE"/>
    <w:rsid w:val="004C6B65"/>
    <w:rsid w:val="004C6C6F"/>
    <w:rsid w:val="004C713E"/>
    <w:rsid w:val="004C75A5"/>
    <w:rsid w:val="004D0506"/>
    <w:rsid w:val="004D0F4A"/>
    <w:rsid w:val="004D108E"/>
    <w:rsid w:val="004D1A55"/>
    <w:rsid w:val="004D2C87"/>
    <w:rsid w:val="004D2E1A"/>
    <w:rsid w:val="004D374E"/>
    <w:rsid w:val="004D3F72"/>
    <w:rsid w:val="004D5110"/>
    <w:rsid w:val="004D5695"/>
    <w:rsid w:val="004D56F3"/>
    <w:rsid w:val="004D5AC8"/>
    <w:rsid w:val="004D611E"/>
    <w:rsid w:val="004D6C53"/>
    <w:rsid w:val="004D70E5"/>
    <w:rsid w:val="004D7240"/>
    <w:rsid w:val="004D758E"/>
    <w:rsid w:val="004D7972"/>
    <w:rsid w:val="004D7B56"/>
    <w:rsid w:val="004D7C7C"/>
    <w:rsid w:val="004E07E7"/>
    <w:rsid w:val="004E13AB"/>
    <w:rsid w:val="004E1596"/>
    <w:rsid w:val="004E1774"/>
    <w:rsid w:val="004E19B9"/>
    <w:rsid w:val="004E1CFD"/>
    <w:rsid w:val="004E245A"/>
    <w:rsid w:val="004E51D0"/>
    <w:rsid w:val="004E538D"/>
    <w:rsid w:val="004E56E2"/>
    <w:rsid w:val="004E598F"/>
    <w:rsid w:val="004E655A"/>
    <w:rsid w:val="004E7F22"/>
    <w:rsid w:val="004E7FA7"/>
    <w:rsid w:val="004F0F5D"/>
    <w:rsid w:val="004F1D69"/>
    <w:rsid w:val="004F24D4"/>
    <w:rsid w:val="004F2C5F"/>
    <w:rsid w:val="004F33F0"/>
    <w:rsid w:val="004F382E"/>
    <w:rsid w:val="004F49BA"/>
    <w:rsid w:val="004F53AE"/>
    <w:rsid w:val="004F57FA"/>
    <w:rsid w:val="004F5BB9"/>
    <w:rsid w:val="004F5D4A"/>
    <w:rsid w:val="004F63DD"/>
    <w:rsid w:val="004F6C21"/>
    <w:rsid w:val="004F6FB1"/>
    <w:rsid w:val="004F7019"/>
    <w:rsid w:val="004F712B"/>
    <w:rsid w:val="004F76BD"/>
    <w:rsid w:val="004F7BB9"/>
    <w:rsid w:val="00500536"/>
    <w:rsid w:val="00500EFD"/>
    <w:rsid w:val="0050150E"/>
    <w:rsid w:val="00501C06"/>
    <w:rsid w:val="00501FC1"/>
    <w:rsid w:val="00502E03"/>
    <w:rsid w:val="00502E4D"/>
    <w:rsid w:val="00502F43"/>
    <w:rsid w:val="00504B36"/>
    <w:rsid w:val="0050513B"/>
    <w:rsid w:val="00506612"/>
    <w:rsid w:val="00506A7C"/>
    <w:rsid w:val="005074AB"/>
    <w:rsid w:val="0050787D"/>
    <w:rsid w:val="00507FBF"/>
    <w:rsid w:val="00510C53"/>
    <w:rsid w:val="00510F96"/>
    <w:rsid w:val="00511350"/>
    <w:rsid w:val="00512160"/>
    <w:rsid w:val="0051270A"/>
    <w:rsid w:val="0051353E"/>
    <w:rsid w:val="00514352"/>
    <w:rsid w:val="0051567A"/>
    <w:rsid w:val="005166EF"/>
    <w:rsid w:val="00516C1D"/>
    <w:rsid w:val="005173DC"/>
    <w:rsid w:val="005176B6"/>
    <w:rsid w:val="00517A72"/>
    <w:rsid w:val="005202AB"/>
    <w:rsid w:val="00520CE0"/>
    <w:rsid w:val="00520E3A"/>
    <w:rsid w:val="005210D1"/>
    <w:rsid w:val="00521465"/>
    <w:rsid w:val="005214BB"/>
    <w:rsid w:val="00521A16"/>
    <w:rsid w:val="0052235D"/>
    <w:rsid w:val="005225FF"/>
    <w:rsid w:val="005226F5"/>
    <w:rsid w:val="00522F94"/>
    <w:rsid w:val="005232F8"/>
    <w:rsid w:val="00523A49"/>
    <w:rsid w:val="00523C05"/>
    <w:rsid w:val="00523EC5"/>
    <w:rsid w:val="005246C4"/>
    <w:rsid w:val="0052581D"/>
    <w:rsid w:val="00525C03"/>
    <w:rsid w:val="00526627"/>
    <w:rsid w:val="0052734B"/>
    <w:rsid w:val="005273A3"/>
    <w:rsid w:val="0052759E"/>
    <w:rsid w:val="00527678"/>
    <w:rsid w:val="00527F12"/>
    <w:rsid w:val="00530974"/>
    <w:rsid w:val="00530FF4"/>
    <w:rsid w:val="005317B2"/>
    <w:rsid w:val="00532E0A"/>
    <w:rsid w:val="0053320C"/>
    <w:rsid w:val="005333A2"/>
    <w:rsid w:val="005343D5"/>
    <w:rsid w:val="00535A4D"/>
    <w:rsid w:val="00536848"/>
    <w:rsid w:val="005375C4"/>
    <w:rsid w:val="00537EDC"/>
    <w:rsid w:val="00540DD7"/>
    <w:rsid w:val="0054141D"/>
    <w:rsid w:val="00542A27"/>
    <w:rsid w:val="00542BDB"/>
    <w:rsid w:val="00543F6F"/>
    <w:rsid w:val="0054503A"/>
    <w:rsid w:val="00546492"/>
    <w:rsid w:val="00546BF0"/>
    <w:rsid w:val="0054788C"/>
    <w:rsid w:val="00550E7D"/>
    <w:rsid w:val="00552455"/>
    <w:rsid w:val="00552E2F"/>
    <w:rsid w:val="005532F9"/>
    <w:rsid w:val="00553E5B"/>
    <w:rsid w:val="00554361"/>
    <w:rsid w:val="0055470A"/>
    <w:rsid w:val="00554A28"/>
    <w:rsid w:val="00554A8F"/>
    <w:rsid w:val="00554D6E"/>
    <w:rsid w:val="005557EF"/>
    <w:rsid w:val="00556127"/>
    <w:rsid w:val="00556843"/>
    <w:rsid w:val="00557D92"/>
    <w:rsid w:val="00557E99"/>
    <w:rsid w:val="00560298"/>
    <w:rsid w:val="005607B3"/>
    <w:rsid w:val="00560A32"/>
    <w:rsid w:val="005615AF"/>
    <w:rsid w:val="005625B9"/>
    <w:rsid w:val="0056382A"/>
    <w:rsid w:val="005645FC"/>
    <w:rsid w:val="00564AD3"/>
    <w:rsid w:val="00564E70"/>
    <w:rsid w:val="00564F67"/>
    <w:rsid w:val="00565146"/>
    <w:rsid w:val="0056668D"/>
    <w:rsid w:val="00566B6D"/>
    <w:rsid w:val="005678D4"/>
    <w:rsid w:val="00570484"/>
    <w:rsid w:val="00570C44"/>
    <w:rsid w:val="00570C58"/>
    <w:rsid w:val="00571C4F"/>
    <w:rsid w:val="00572211"/>
    <w:rsid w:val="00572C78"/>
    <w:rsid w:val="005740F1"/>
    <w:rsid w:val="00574C22"/>
    <w:rsid w:val="00574F7A"/>
    <w:rsid w:val="00575303"/>
    <w:rsid w:val="005758AF"/>
    <w:rsid w:val="00575CFF"/>
    <w:rsid w:val="005763FE"/>
    <w:rsid w:val="00577177"/>
    <w:rsid w:val="00577494"/>
    <w:rsid w:val="005778EB"/>
    <w:rsid w:val="005801A5"/>
    <w:rsid w:val="005809BD"/>
    <w:rsid w:val="005809C1"/>
    <w:rsid w:val="00581C3C"/>
    <w:rsid w:val="00582A00"/>
    <w:rsid w:val="00582A82"/>
    <w:rsid w:val="00582DD0"/>
    <w:rsid w:val="00583347"/>
    <w:rsid w:val="0058346C"/>
    <w:rsid w:val="0058386D"/>
    <w:rsid w:val="00583C41"/>
    <w:rsid w:val="0058422D"/>
    <w:rsid w:val="00584EE5"/>
    <w:rsid w:val="00585A79"/>
    <w:rsid w:val="005868A5"/>
    <w:rsid w:val="00586B03"/>
    <w:rsid w:val="00587057"/>
    <w:rsid w:val="0058770F"/>
    <w:rsid w:val="005878E0"/>
    <w:rsid w:val="0059005D"/>
    <w:rsid w:val="00590D37"/>
    <w:rsid w:val="0059178C"/>
    <w:rsid w:val="0059215B"/>
    <w:rsid w:val="0059254B"/>
    <w:rsid w:val="005926BD"/>
    <w:rsid w:val="00592931"/>
    <w:rsid w:val="00592B85"/>
    <w:rsid w:val="00592C78"/>
    <w:rsid w:val="0059379A"/>
    <w:rsid w:val="00593A9D"/>
    <w:rsid w:val="005940C9"/>
    <w:rsid w:val="005946E0"/>
    <w:rsid w:val="00595361"/>
    <w:rsid w:val="00595C83"/>
    <w:rsid w:val="00596635"/>
    <w:rsid w:val="00596CCE"/>
    <w:rsid w:val="0059740B"/>
    <w:rsid w:val="005978B4"/>
    <w:rsid w:val="00597A7A"/>
    <w:rsid w:val="00597DF6"/>
    <w:rsid w:val="005A0B3C"/>
    <w:rsid w:val="005A172E"/>
    <w:rsid w:val="005A19E2"/>
    <w:rsid w:val="005A1C59"/>
    <w:rsid w:val="005A1D43"/>
    <w:rsid w:val="005A1D98"/>
    <w:rsid w:val="005A376D"/>
    <w:rsid w:val="005A409B"/>
    <w:rsid w:val="005A42C2"/>
    <w:rsid w:val="005A4A1A"/>
    <w:rsid w:val="005A4DE1"/>
    <w:rsid w:val="005A5E0C"/>
    <w:rsid w:val="005A63E4"/>
    <w:rsid w:val="005A65B4"/>
    <w:rsid w:val="005A6EBD"/>
    <w:rsid w:val="005A72F9"/>
    <w:rsid w:val="005A73C5"/>
    <w:rsid w:val="005A796A"/>
    <w:rsid w:val="005B008E"/>
    <w:rsid w:val="005B095F"/>
    <w:rsid w:val="005B0C52"/>
    <w:rsid w:val="005B1574"/>
    <w:rsid w:val="005B232D"/>
    <w:rsid w:val="005B23D6"/>
    <w:rsid w:val="005B2F36"/>
    <w:rsid w:val="005B481D"/>
    <w:rsid w:val="005B483D"/>
    <w:rsid w:val="005B4B99"/>
    <w:rsid w:val="005B4E6A"/>
    <w:rsid w:val="005B5AF9"/>
    <w:rsid w:val="005B6D16"/>
    <w:rsid w:val="005B730A"/>
    <w:rsid w:val="005B7A0A"/>
    <w:rsid w:val="005C050C"/>
    <w:rsid w:val="005C16B2"/>
    <w:rsid w:val="005C2944"/>
    <w:rsid w:val="005C346D"/>
    <w:rsid w:val="005C3C93"/>
    <w:rsid w:val="005C4C75"/>
    <w:rsid w:val="005C563D"/>
    <w:rsid w:val="005C57EF"/>
    <w:rsid w:val="005D0579"/>
    <w:rsid w:val="005D065C"/>
    <w:rsid w:val="005D1738"/>
    <w:rsid w:val="005D21D0"/>
    <w:rsid w:val="005D260B"/>
    <w:rsid w:val="005D2D13"/>
    <w:rsid w:val="005D35BA"/>
    <w:rsid w:val="005D36AB"/>
    <w:rsid w:val="005D3EAC"/>
    <w:rsid w:val="005D3FF2"/>
    <w:rsid w:val="005D5077"/>
    <w:rsid w:val="005D55C5"/>
    <w:rsid w:val="005D5C1C"/>
    <w:rsid w:val="005D5E75"/>
    <w:rsid w:val="005D6A82"/>
    <w:rsid w:val="005D7D33"/>
    <w:rsid w:val="005D7DDC"/>
    <w:rsid w:val="005E0661"/>
    <w:rsid w:val="005E1BBA"/>
    <w:rsid w:val="005E2EF5"/>
    <w:rsid w:val="005E2FC6"/>
    <w:rsid w:val="005E3776"/>
    <w:rsid w:val="005E3F85"/>
    <w:rsid w:val="005E47AB"/>
    <w:rsid w:val="005E52B1"/>
    <w:rsid w:val="005E5491"/>
    <w:rsid w:val="005E58B4"/>
    <w:rsid w:val="005E5C0F"/>
    <w:rsid w:val="005E6042"/>
    <w:rsid w:val="005E6155"/>
    <w:rsid w:val="005E724C"/>
    <w:rsid w:val="005E73CB"/>
    <w:rsid w:val="005E7551"/>
    <w:rsid w:val="005E7B90"/>
    <w:rsid w:val="005E7DB3"/>
    <w:rsid w:val="005E7F70"/>
    <w:rsid w:val="005F0CF5"/>
    <w:rsid w:val="005F0EAC"/>
    <w:rsid w:val="005F177E"/>
    <w:rsid w:val="005F183B"/>
    <w:rsid w:val="005F243D"/>
    <w:rsid w:val="005F2F48"/>
    <w:rsid w:val="005F32B8"/>
    <w:rsid w:val="005F3735"/>
    <w:rsid w:val="005F3D00"/>
    <w:rsid w:val="005F54C4"/>
    <w:rsid w:val="005F565B"/>
    <w:rsid w:val="005F5EC8"/>
    <w:rsid w:val="005F5FF5"/>
    <w:rsid w:val="005F6C68"/>
    <w:rsid w:val="00600092"/>
    <w:rsid w:val="006004D3"/>
    <w:rsid w:val="00600630"/>
    <w:rsid w:val="00601170"/>
    <w:rsid w:val="006019BC"/>
    <w:rsid w:val="00602E1D"/>
    <w:rsid w:val="0060328C"/>
    <w:rsid w:val="00605A78"/>
    <w:rsid w:val="00605BF8"/>
    <w:rsid w:val="00605FD0"/>
    <w:rsid w:val="00606F7B"/>
    <w:rsid w:val="006077D9"/>
    <w:rsid w:val="006100E0"/>
    <w:rsid w:val="006119EF"/>
    <w:rsid w:val="00611DB0"/>
    <w:rsid w:val="00611F33"/>
    <w:rsid w:val="006141A2"/>
    <w:rsid w:val="006144AA"/>
    <w:rsid w:val="006156BB"/>
    <w:rsid w:val="00615768"/>
    <w:rsid w:val="0061597C"/>
    <w:rsid w:val="00615AC5"/>
    <w:rsid w:val="00615AF7"/>
    <w:rsid w:val="00616740"/>
    <w:rsid w:val="00617401"/>
    <w:rsid w:val="00617908"/>
    <w:rsid w:val="00617A50"/>
    <w:rsid w:val="00617F1B"/>
    <w:rsid w:val="006216E2"/>
    <w:rsid w:val="006220D5"/>
    <w:rsid w:val="006221F3"/>
    <w:rsid w:val="006230BF"/>
    <w:rsid w:val="00623C21"/>
    <w:rsid w:val="00624765"/>
    <w:rsid w:val="00624DA2"/>
    <w:rsid w:val="00624DFE"/>
    <w:rsid w:val="00625011"/>
    <w:rsid w:val="0062624E"/>
    <w:rsid w:val="00626A79"/>
    <w:rsid w:val="006276FF"/>
    <w:rsid w:val="00627AF8"/>
    <w:rsid w:val="00630324"/>
    <w:rsid w:val="00630879"/>
    <w:rsid w:val="0063129C"/>
    <w:rsid w:val="00631B3F"/>
    <w:rsid w:val="00631EFA"/>
    <w:rsid w:val="006325CA"/>
    <w:rsid w:val="00632BF4"/>
    <w:rsid w:val="0063475D"/>
    <w:rsid w:val="0063501A"/>
    <w:rsid w:val="00635215"/>
    <w:rsid w:val="006352C6"/>
    <w:rsid w:val="00635438"/>
    <w:rsid w:val="00635752"/>
    <w:rsid w:val="00635BDA"/>
    <w:rsid w:val="00635D84"/>
    <w:rsid w:val="0063689A"/>
    <w:rsid w:val="00640169"/>
    <w:rsid w:val="00640A54"/>
    <w:rsid w:val="0064101F"/>
    <w:rsid w:val="00641432"/>
    <w:rsid w:val="00641776"/>
    <w:rsid w:val="006419C9"/>
    <w:rsid w:val="00642BFB"/>
    <w:rsid w:val="00643269"/>
    <w:rsid w:val="00643346"/>
    <w:rsid w:val="006439D7"/>
    <w:rsid w:val="00643CE5"/>
    <w:rsid w:val="00643FAF"/>
    <w:rsid w:val="00643FD6"/>
    <w:rsid w:val="00645B4B"/>
    <w:rsid w:val="006460FC"/>
    <w:rsid w:val="00646D40"/>
    <w:rsid w:val="0064721E"/>
    <w:rsid w:val="00647D39"/>
    <w:rsid w:val="0065063D"/>
    <w:rsid w:val="00650938"/>
    <w:rsid w:val="00651F08"/>
    <w:rsid w:val="00652B4C"/>
    <w:rsid w:val="006533A0"/>
    <w:rsid w:val="006533D5"/>
    <w:rsid w:val="006536AD"/>
    <w:rsid w:val="006541F2"/>
    <w:rsid w:val="006548DC"/>
    <w:rsid w:val="00656670"/>
    <w:rsid w:val="00657156"/>
    <w:rsid w:val="0065721F"/>
    <w:rsid w:val="00657ECF"/>
    <w:rsid w:val="006609BC"/>
    <w:rsid w:val="00660F36"/>
    <w:rsid w:val="00661B39"/>
    <w:rsid w:val="00661F3E"/>
    <w:rsid w:val="00662088"/>
    <w:rsid w:val="00662FC4"/>
    <w:rsid w:val="00663176"/>
    <w:rsid w:val="006637EB"/>
    <w:rsid w:val="00663B84"/>
    <w:rsid w:val="00664D16"/>
    <w:rsid w:val="00664E35"/>
    <w:rsid w:val="00664FEB"/>
    <w:rsid w:val="006653BB"/>
    <w:rsid w:val="0066625B"/>
    <w:rsid w:val="006668D0"/>
    <w:rsid w:val="00666BD8"/>
    <w:rsid w:val="0066722B"/>
    <w:rsid w:val="00667AB1"/>
    <w:rsid w:val="00667CFB"/>
    <w:rsid w:val="00670D22"/>
    <w:rsid w:val="0067116B"/>
    <w:rsid w:val="00671ACA"/>
    <w:rsid w:val="0067221C"/>
    <w:rsid w:val="006728A1"/>
    <w:rsid w:val="00672C22"/>
    <w:rsid w:val="00672E29"/>
    <w:rsid w:val="006730A6"/>
    <w:rsid w:val="006738E8"/>
    <w:rsid w:val="00673DFA"/>
    <w:rsid w:val="00673F08"/>
    <w:rsid w:val="006742B5"/>
    <w:rsid w:val="00674B04"/>
    <w:rsid w:val="00674C46"/>
    <w:rsid w:val="0067523B"/>
    <w:rsid w:val="00675642"/>
    <w:rsid w:val="00675D63"/>
    <w:rsid w:val="006761E0"/>
    <w:rsid w:val="00676A8D"/>
    <w:rsid w:val="00676B7D"/>
    <w:rsid w:val="00676E5C"/>
    <w:rsid w:val="00676F25"/>
    <w:rsid w:val="00677286"/>
    <w:rsid w:val="00677A3B"/>
    <w:rsid w:val="00680804"/>
    <w:rsid w:val="006808B9"/>
    <w:rsid w:val="00680B63"/>
    <w:rsid w:val="006816D4"/>
    <w:rsid w:val="00681C7F"/>
    <w:rsid w:val="006825BB"/>
    <w:rsid w:val="0068269D"/>
    <w:rsid w:val="00682C2C"/>
    <w:rsid w:val="00682DFF"/>
    <w:rsid w:val="0068399F"/>
    <w:rsid w:val="00683A78"/>
    <w:rsid w:val="006841F3"/>
    <w:rsid w:val="00684E39"/>
    <w:rsid w:val="0068527A"/>
    <w:rsid w:val="00685ADA"/>
    <w:rsid w:val="00686934"/>
    <w:rsid w:val="006901B4"/>
    <w:rsid w:val="00690275"/>
    <w:rsid w:val="00690E0B"/>
    <w:rsid w:val="00690E50"/>
    <w:rsid w:val="00691204"/>
    <w:rsid w:val="006912DD"/>
    <w:rsid w:val="00691B92"/>
    <w:rsid w:val="0069293E"/>
    <w:rsid w:val="00693645"/>
    <w:rsid w:val="00693E8C"/>
    <w:rsid w:val="0069476C"/>
    <w:rsid w:val="00694953"/>
    <w:rsid w:val="00696485"/>
    <w:rsid w:val="00696C94"/>
    <w:rsid w:val="0069750A"/>
    <w:rsid w:val="00697E7B"/>
    <w:rsid w:val="006A0D1B"/>
    <w:rsid w:val="006A1CD6"/>
    <w:rsid w:val="006A1E67"/>
    <w:rsid w:val="006A27F0"/>
    <w:rsid w:val="006A3D39"/>
    <w:rsid w:val="006A43F6"/>
    <w:rsid w:val="006A46F2"/>
    <w:rsid w:val="006A477A"/>
    <w:rsid w:val="006A4CA5"/>
    <w:rsid w:val="006A5137"/>
    <w:rsid w:val="006A5163"/>
    <w:rsid w:val="006A57A2"/>
    <w:rsid w:val="006A58A1"/>
    <w:rsid w:val="006A5B21"/>
    <w:rsid w:val="006A5E46"/>
    <w:rsid w:val="006A66D0"/>
    <w:rsid w:val="006A744D"/>
    <w:rsid w:val="006B0363"/>
    <w:rsid w:val="006B05CE"/>
    <w:rsid w:val="006B0893"/>
    <w:rsid w:val="006B0A11"/>
    <w:rsid w:val="006B0BA6"/>
    <w:rsid w:val="006B0D46"/>
    <w:rsid w:val="006B1AF2"/>
    <w:rsid w:val="006B1ED2"/>
    <w:rsid w:val="006B23DF"/>
    <w:rsid w:val="006B26CD"/>
    <w:rsid w:val="006B3D08"/>
    <w:rsid w:val="006B459B"/>
    <w:rsid w:val="006B6F04"/>
    <w:rsid w:val="006B78E7"/>
    <w:rsid w:val="006B79B7"/>
    <w:rsid w:val="006C1727"/>
    <w:rsid w:val="006C1D9E"/>
    <w:rsid w:val="006C1DF0"/>
    <w:rsid w:val="006C269B"/>
    <w:rsid w:val="006C3C50"/>
    <w:rsid w:val="006C4D5F"/>
    <w:rsid w:val="006C5BBC"/>
    <w:rsid w:val="006C622F"/>
    <w:rsid w:val="006C6ED9"/>
    <w:rsid w:val="006C7034"/>
    <w:rsid w:val="006C72F0"/>
    <w:rsid w:val="006C7436"/>
    <w:rsid w:val="006D177C"/>
    <w:rsid w:val="006D3322"/>
    <w:rsid w:val="006D4257"/>
    <w:rsid w:val="006D4E75"/>
    <w:rsid w:val="006D5A8C"/>
    <w:rsid w:val="006D6D8F"/>
    <w:rsid w:val="006D6EF1"/>
    <w:rsid w:val="006D7077"/>
    <w:rsid w:val="006D7726"/>
    <w:rsid w:val="006D7870"/>
    <w:rsid w:val="006D7DB3"/>
    <w:rsid w:val="006D7E12"/>
    <w:rsid w:val="006E0979"/>
    <w:rsid w:val="006E0A8D"/>
    <w:rsid w:val="006E0C39"/>
    <w:rsid w:val="006E13D1"/>
    <w:rsid w:val="006E161F"/>
    <w:rsid w:val="006E2018"/>
    <w:rsid w:val="006E2AEB"/>
    <w:rsid w:val="006E3455"/>
    <w:rsid w:val="006E363A"/>
    <w:rsid w:val="006E3D23"/>
    <w:rsid w:val="006E43AF"/>
    <w:rsid w:val="006E4CB2"/>
    <w:rsid w:val="006E5794"/>
    <w:rsid w:val="006E588F"/>
    <w:rsid w:val="006E5B80"/>
    <w:rsid w:val="006E7125"/>
    <w:rsid w:val="006E75F9"/>
    <w:rsid w:val="006F0F0C"/>
    <w:rsid w:val="006F3042"/>
    <w:rsid w:val="006F38B9"/>
    <w:rsid w:val="006F3A0D"/>
    <w:rsid w:val="006F4D15"/>
    <w:rsid w:val="006F5397"/>
    <w:rsid w:val="006F55E1"/>
    <w:rsid w:val="006F5A4D"/>
    <w:rsid w:val="006F729E"/>
    <w:rsid w:val="006F7980"/>
    <w:rsid w:val="006F7A2E"/>
    <w:rsid w:val="006F7D0B"/>
    <w:rsid w:val="006F7E99"/>
    <w:rsid w:val="007008D3"/>
    <w:rsid w:val="00701813"/>
    <w:rsid w:val="00701CE4"/>
    <w:rsid w:val="00702132"/>
    <w:rsid w:val="007025D2"/>
    <w:rsid w:val="0070363C"/>
    <w:rsid w:val="007040DB"/>
    <w:rsid w:val="00704200"/>
    <w:rsid w:val="00704354"/>
    <w:rsid w:val="0070503A"/>
    <w:rsid w:val="007053BF"/>
    <w:rsid w:val="00706616"/>
    <w:rsid w:val="00706AA1"/>
    <w:rsid w:val="00710242"/>
    <w:rsid w:val="0071041A"/>
    <w:rsid w:val="0071064E"/>
    <w:rsid w:val="007113FD"/>
    <w:rsid w:val="00712086"/>
    <w:rsid w:val="00712B68"/>
    <w:rsid w:val="00713F69"/>
    <w:rsid w:val="00714066"/>
    <w:rsid w:val="00714E75"/>
    <w:rsid w:val="00715265"/>
    <w:rsid w:val="00715368"/>
    <w:rsid w:val="007154CC"/>
    <w:rsid w:val="007154F8"/>
    <w:rsid w:val="00715CC0"/>
    <w:rsid w:val="00716911"/>
    <w:rsid w:val="00716A41"/>
    <w:rsid w:val="0071702E"/>
    <w:rsid w:val="00717198"/>
    <w:rsid w:val="007171DF"/>
    <w:rsid w:val="007177A3"/>
    <w:rsid w:val="00717A31"/>
    <w:rsid w:val="00717C33"/>
    <w:rsid w:val="00720488"/>
    <w:rsid w:val="007204F0"/>
    <w:rsid w:val="00720D15"/>
    <w:rsid w:val="00721BD6"/>
    <w:rsid w:val="00722290"/>
    <w:rsid w:val="0072488D"/>
    <w:rsid w:val="00725928"/>
    <w:rsid w:val="00725C27"/>
    <w:rsid w:val="00725FAD"/>
    <w:rsid w:val="00726579"/>
    <w:rsid w:val="00726D57"/>
    <w:rsid w:val="00727513"/>
    <w:rsid w:val="00727E4E"/>
    <w:rsid w:val="007308B7"/>
    <w:rsid w:val="0073092E"/>
    <w:rsid w:val="00731273"/>
    <w:rsid w:val="007319F1"/>
    <w:rsid w:val="00731E10"/>
    <w:rsid w:val="00731FC0"/>
    <w:rsid w:val="00732751"/>
    <w:rsid w:val="00732E6D"/>
    <w:rsid w:val="00732F39"/>
    <w:rsid w:val="00733A81"/>
    <w:rsid w:val="00734C26"/>
    <w:rsid w:val="00737AC6"/>
    <w:rsid w:val="00737F09"/>
    <w:rsid w:val="0074106B"/>
    <w:rsid w:val="00741649"/>
    <w:rsid w:val="00742277"/>
    <w:rsid w:val="00742311"/>
    <w:rsid w:val="007424F7"/>
    <w:rsid w:val="0074255D"/>
    <w:rsid w:val="00742D19"/>
    <w:rsid w:val="00743DB2"/>
    <w:rsid w:val="00744374"/>
    <w:rsid w:val="0074440D"/>
    <w:rsid w:val="007447AE"/>
    <w:rsid w:val="00745566"/>
    <w:rsid w:val="007459D8"/>
    <w:rsid w:val="00745A15"/>
    <w:rsid w:val="00745BD3"/>
    <w:rsid w:val="00746828"/>
    <w:rsid w:val="0074731E"/>
    <w:rsid w:val="007504B1"/>
    <w:rsid w:val="00751BF9"/>
    <w:rsid w:val="00751D1D"/>
    <w:rsid w:val="00751D92"/>
    <w:rsid w:val="00751F2E"/>
    <w:rsid w:val="007522A8"/>
    <w:rsid w:val="0075279B"/>
    <w:rsid w:val="00752A01"/>
    <w:rsid w:val="00752E27"/>
    <w:rsid w:val="0075399E"/>
    <w:rsid w:val="0075458C"/>
    <w:rsid w:val="00754721"/>
    <w:rsid w:val="007550AC"/>
    <w:rsid w:val="00755C5B"/>
    <w:rsid w:val="00755FC2"/>
    <w:rsid w:val="00756987"/>
    <w:rsid w:val="00756F9D"/>
    <w:rsid w:val="00757B35"/>
    <w:rsid w:val="0076011A"/>
    <w:rsid w:val="007609AD"/>
    <w:rsid w:val="00760CEC"/>
    <w:rsid w:val="00761002"/>
    <w:rsid w:val="0076133A"/>
    <w:rsid w:val="007619A1"/>
    <w:rsid w:val="00761A8E"/>
    <w:rsid w:val="00761EB2"/>
    <w:rsid w:val="007621BA"/>
    <w:rsid w:val="00762582"/>
    <w:rsid w:val="00763098"/>
    <w:rsid w:val="00763473"/>
    <w:rsid w:val="0076361D"/>
    <w:rsid w:val="00764C50"/>
    <w:rsid w:val="00764E65"/>
    <w:rsid w:val="007654BA"/>
    <w:rsid w:val="00765923"/>
    <w:rsid w:val="00766679"/>
    <w:rsid w:val="00766C52"/>
    <w:rsid w:val="00766E67"/>
    <w:rsid w:val="00767F65"/>
    <w:rsid w:val="00770A19"/>
    <w:rsid w:val="00770A39"/>
    <w:rsid w:val="00770FFA"/>
    <w:rsid w:val="00771D5E"/>
    <w:rsid w:val="00772216"/>
    <w:rsid w:val="00772886"/>
    <w:rsid w:val="007728D0"/>
    <w:rsid w:val="0077344C"/>
    <w:rsid w:val="00773464"/>
    <w:rsid w:val="00773B28"/>
    <w:rsid w:val="00773D41"/>
    <w:rsid w:val="00773E57"/>
    <w:rsid w:val="00774425"/>
    <w:rsid w:val="00774C7E"/>
    <w:rsid w:val="00774DF8"/>
    <w:rsid w:val="00774F95"/>
    <w:rsid w:val="00775387"/>
    <w:rsid w:val="00775B7C"/>
    <w:rsid w:val="0077632B"/>
    <w:rsid w:val="00776512"/>
    <w:rsid w:val="00776ADD"/>
    <w:rsid w:val="00777015"/>
    <w:rsid w:val="007802B6"/>
    <w:rsid w:val="0078090D"/>
    <w:rsid w:val="00780EE8"/>
    <w:rsid w:val="00781758"/>
    <w:rsid w:val="00781CBD"/>
    <w:rsid w:val="00782673"/>
    <w:rsid w:val="007829C1"/>
    <w:rsid w:val="00783C40"/>
    <w:rsid w:val="00783E4A"/>
    <w:rsid w:val="00784092"/>
    <w:rsid w:val="00785768"/>
    <w:rsid w:val="00785E2D"/>
    <w:rsid w:val="0078630E"/>
    <w:rsid w:val="00786728"/>
    <w:rsid w:val="007879EF"/>
    <w:rsid w:val="00787B26"/>
    <w:rsid w:val="00790160"/>
    <w:rsid w:val="007918BB"/>
    <w:rsid w:val="007921C5"/>
    <w:rsid w:val="0079329D"/>
    <w:rsid w:val="00794940"/>
    <w:rsid w:val="00795700"/>
    <w:rsid w:val="00795AA1"/>
    <w:rsid w:val="00795E95"/>
    <w:rsid w:val="007960AE"/>
    <w:rsid w:val="00796134"/>
    <w:rsid w:val="007963DE"/>
    <w:rsid w:val="00796C4B"/>
    <w:rsid w:val="0079716A"/>
    <w:rsid w:val="007973E4"/>
    <w:rsid w:val="00797B5D"/>
    <w:rsid w:val="00797D9E"/>
    <w:rsid w:val="007A0A9F"/>
    <w:rsid w:val="007A1459"/>
    <w:rsid w:val="007A1C84"/>
    <w:rsid w:val="007A2862"/>
    <w:rsid w:val="007A32D5"/>
    <w:rsid w:val="007A3373"/>
    <w:rsid w:val="007A35F0"/>
    <w:rsid w:val="007A386A"/>
    <w:rsid w:val="007A3B16"/>
    <w:rsid w:val="007A4BC2"/>
    <w:rsid w:val="007A4D7B"/>
    <w:rsid w:val="007A53D9"/>
    <w:rsid w:val="007A5C74"/>
    <w:rsid w:val="007A6240"/>
    <w:rsid w:val="007A64B8"/>
    <w:rsid w:val="007A66BF"/>
    <w:rsid w:val="007A73EF"/>
    <w:rsid w:val="007B093C"/>
    <w:rsid w:val="007B0A04"/>
    <w:rsid w:val="007B1222"/>
    <w:rsid w:val="007B1483"/>
    <w:rsid w:val="007B249C"/>
    <w:rsid w:val="007B2638"/>
    <w:rsid w:val="007B2950"/>
    <w:rsid w:val="007B332F"/>
    <w:rsid w:val="007B341C"/>
    <w:rsid w:val="007B37A5"/>
    <w:rsid w:val="007B4805"/>
    <w:rsid w:val="007B4ECE"/>
    <w:rsid w:val="007B5107"/>
    <w:rsid w:val="007B541A"/>
    <w:rsid w:val="007B640F"/>
    <w:rsid w:val="007B66D8"/>
    <w:rsid w:val="007B6F2E"/>
    <w:rsid w:val="007B729E"/>
    <w:rsid w:val="007B778D"/>
    <w:rsid w:val="007B7B92"/>
    <w:rsid w:val="007C040D"/>
    <w:rsid w:val="007C1398"/>
    <w:rsid w:val="007C23C7"/>
    <w:rsid w:val="007C2D2E"/>
    <w:rsid w:val="007C3096"/>
    <w:rsid w:val="007C35A4"/>
    <w:rsid w:val="007C4029"/>
    <w:rsid w:val="007C4C10"/>
    <w:rsid w:val="007C519F"/>
    <w:rsid w:val="007C7632"/>
    <w:rsid w:val="007C7655"/>
    <w:rsid w:val="007C7A1B"/>
    <w:rsid w:val="007D041B"/>
    <w:rsid w:val="007D0943"/>
    <w:rsid w:val="007D098B"/>
    <w:rsid w:val="007D0B7F"/>
    <w:rsid w:val="007D1C23"/>
    <w:rsid w:val="007D23B5"/>
    <w:rsid w:val="007D2D03"/>
    <w:rsid w:val="007D3813"/>
    <w:rsid w:val="007D38A4"/>
    <w:rsid w:val="007D3B33"/>
    <w:rsid w:val="007D4045"/>
    <w:rsid w:val="007D4996"/>
    <w:rsid w:val="007D4FCB"/>
    <w:rsid w:val="007D5099"/>
    <w:rsid w:val="007D5A14"/>
    <w:rsid w:val="007D5A34"/>
    <w:rsid w:val="007D603D"/>
    <w:rsid w:val="007D6098"/>
    <w:rsid w:val="007D7135"/>
    <w:rsid w:val="007D75FE"/>
    <w:rsid w:val="007E0569"/>
    <w:rsid w:val="007E05C2"/>
    <w:rsid w:val="007E0D6E"/>
    <w:rsid w:val="007E11D9"/>
    <w:rsid w:val="007E12BF"/>
    <w:rsid w:val="007E2374"/>
    <w:rsid w:val="007E268F"/>
    <w:rsid w:val="007E3A1C"/>
    <w:rsid w:val="007E3AA4"/>
    <w:rsid w:val="007E3EBB"/>
    <w:rsid w:val="007E4555"/>
    <w:rsid w:val="007E4E2A"/>
    <w:rsid w:val="007E5B8A"/>
    <w:rsid w:val="007E5E87"/>
    <w:rsid w:val="007E6A69"/>
    <w:rsid w:val="007E6C91"/>
    <w:rsid w:val="007E77A0"/>
    <w:rsid w:val="007E7B67"/>
    <w:rsid w:val="007E7B6A"/>
    <w:rsid w:val="007E7BFB"/>
    <w:rsid w:val="007F0F74"/>
    <w:rsid w:val="007F0FDF"/>
    <w:rsid w:val="007F100A"/>
    <w:rsid w:val="007F1678"/>
    <w:rsid w:val="007F20B8"/>
    <w:rsid w:val="007F24C6"/>
    <w:rsid w:val="007F332D"/>
    <w:rsid w:val="007F3A34"/>
    <w:rsid w:val="007F3FD9"/>
    <w:rsid w:val="007F4C93"/>
    <w:rsid w:val="007F4CAF"/>
    <w:rsid w:val="007F5C81"/>
    <w:rsid w:val="007F60E1"/>
    <w:rsid w:val="007F678D"/>
    <w:rsid w:val="007F6ED6"/>
    <w:rsid w:val="007F782C"/>
    <w:rsid w:val="007F79DD"/>
    <w:rsid w:val="007F7E75"/>
    <w:rsid w:val="007F7F85"/>
    <w:rsid w:val="00800611"/>
    <w:rsid w:val="008012A9"/>
    <w:rsid w:val="00801902"/>
    <w:rsid w:val="008024AD"/>
    <w:rsid w:val="00802797"/>
    <w:rsid w:val="00802AC9"/>
    <w:rsid w:val="0080362E"/>
    <w:rsid w:val="008037BF"/>
    <w:rsid w:val="008040F0"/>
    <w:rsid w:val="008041A1"/>
    <w:rsid w:val="00805079"/>
    <w:rsid w:val="00805617"/>
    <w:rsid w:val="00806084"/>
    <w:rsid w:val="008067C5"/>
    <w:rsid w:val="00806991"/>
    <w:rsid w:val="008101B6"/>
    <w:rsid w:val="00810B2D"/>
    <w:rsid w:val="00811526"/>
    <w:rsid w:val="00811C9B"/>
    <w:rsid w:val="008129B1"/>
    <w:rsid w:val="00812AE4"/>
    <w:rsid w:val="00812F44"/>
    <w:rsid w:val="00813DCF"/>
    <w:rsid w:val="00813DE4"/>
    <w:rsid w:val="008142A3"/>
    <w:rsid w:val="00815205"/>
    <w:rsid w:val="0081543C"/>
    <w:rsid w:val="00815450"/>
    <w:rsid w:val="00815DB8"/>
    <w:rsid w:val="0081618A"/>
    <w:rsid w:val="00816C68"/>
    <w:rsid w:val="00817E21"/>
    <w:rsid w:val="00817E94"/>
    <w:rsid w:val="0082009F"/>
    <w:rsid w:val="00820177"/>
    <w:rsid w:val="008222BA"/>
    <w:rsid w:val="00822338"/>
    <w:rsid w:val="0082251E"/>
    <w:rsid w:val="00822860"/>
    <w:rsid w:val="00822D3D"/>
    <w:rsid w:val="008235B4"/>
    <w:rsid w:val="00823EB8"/>
    <w:rsid w:val="00824462"/>
    <w:rsid w:val="008248A2"/>
    <w:rsid w:val="00824913"/>
    <w:rsid w:val="00824C98"/>
    <w:rsid w:val="00824E9B"/>
    <w:rsid w:val="00825D82"/>
    <w:rsid w:val="00826984"/>
    <w:rsid w:val="0082732C"/>
    <w:rsid w:val="008274CB"/>
    <w:rsid w:val="00827836"/>
    <w:rsid w:val="00830BBC"/>
    <w:rsid w:val="008313C3"/>
    <w:rsid w:val="008313DB"/>
    <w:rsid w:val="008324A4"/>
    <w:rsid w:val="00832A94"/>
    <w:rsid w:val="00834208"/>
    <w:rsid w:val="0083429B"/>
    <w:rsid w:val="0083584B"/>
    <w:rsid w:val="00835B77"/>
    <w:rsid w:val="00836292"/>
    <w:rsid w:val="0083643D"/>
    <w:rsid w:val="00836D34"/>
    <w:rsid w:val="0084038F"/>
    <w:rsid w:val="00840AFC"/>
    <w:rsid w:val="00840CE1"/>
    <w:rsid w:val="008428C9"/>
    <w:rsid w:val="00842F51"/>
    <w:rsid w:val="00843526"/>
    <w:rsid w:val="00843AD7"/>
    <w:rsid w:val="00843C09"/>
    <w:rsid w:val="008442DE"/>
    <w:rsid w:val="008443C5"/>
    <w:rsid w:val="00846750"/>
    <w:rsid w:val="0085079A"/>
    <w:rsid w:val="00850826"/>
    <w:rsid w:val="00850A8D"/>
    <w:rsid w:val="00850BBC"/>
    <w:rsid w:val="00850D31"/>
    <w:rsid w:val="00851C0D"/>
    <w:rsid w:val="00851DA4"/>
    <w:rsid w:val="00851F7F"/>
    <w:rsid w:val="00852124"/>
    <w:rsid w:val="00852E12"/>
    <w:rsid w:val="00853004"/>
    <w:rsid w:val="0085430E"/>
    <w:rsid w:val="00855041"/>
    <w:rsid w:val="008552F7"/>
    <w:rsid w:val="008555DC"/>
    <w:rsid w:val="008556B2"/>
    <w:rsid w:val="008566D4"/>
    <w:rsid w:val="008570ED"/>
    <w:rsid w:val="00857295"/>
    <w:rsid w:val="00857ED0"/>
    <w:rsid w:val="00861CD4"/>
    <w:rsid w:val="00862103"/>
    <w:rsid w:val="00862BE5"/>
    <w:rsid w:val="00862D55"/>
    <w:rsid w:val="00863271"/>
    <w:rsid w:val="008637FF"/>
    <w:rsid w:val="00863B27"/>
    <w:rsid w:val="0086405B"/>
    <w:rsid w:val="00864A69"/>
    <w:rsid w:val="00864F72"/>
    <w:rsid w:val="00865179"/>
    <w:rsid w:val="008652B6"/>
    <w:rsid w:val="008653A4"/>
    <w:rsid w:val="008655FF"/>
    <w:rsid w:val="00865628"/>
    <w:rsid w:val="00866251"/>
    <w:rsid w:val="00866BA7"/>
    <w:rsid w:val="00866C1D"/>
    <w:rsid w:val="008676AC"/>
    <w:rsid w:val="00867EB1"/>
    <w:rsid w:val="00870116"/>
    <w:rsid w:val="0087037D"/>
    <w:rsid w:val="00870739"/>
    <w:rsid w:val="00871B00"/>
    <w:rsid w:val="0087280B"/>
    <w:rsid w:val="00872E0E"/>
    <w:rsid w:val="00873D32"/>
    <w:rsid w:val="00873FEA"/>
    <w:rsid w:val="00874A63"/>
    <w:rsid w:val="00874BE8"/>
    <w:rsid w:val="00874BFA"/>
    <w:rsid w:val="00875976"/>
    <w:rsid w:val="008761B7"/>
    <w:rsid w:val="00876490"/>
    <w:rsid w:val="00876575"/>
    <w:rsid w:val="00876A5E"/>
    <w:rsid w:val="00876C25"/>
    <w:rsid w:val="00876E02"/>
    <w:rsid w:val="00877230"/>
    <w:rsid w:val="00877A22"/>
    <w:rsid w:val="008809DD"/>
    <w:rsid w:val="0088141E"/>
    <w:rsid w:val="00883513"/>
    <w:rsid w:val="00883865"/>
    <w:rsid w:val="00883BC1"/>
    <w:rsid w:val="00884AE1"/>
    <w:rsid w:val="0088500E"/>
    <w:rsid w:val="00885181"/>
    <w:rsid w:val="00885406"/>
    <w:rsid w:val="0088588F"/>
    <w:rsid w:val="00885B0B"/>
    <w:rsid w:val="00885E8C"/>
    <w:rsid w:val="0088663E"/>
    <w:rsid w:val="008866FE"/>
    <w:rsid w:val="008868FC"/>
    <w:rsid w:val="008875A5"/>
    <w:rsid w:val="00887977"/>
    <w:rsid w:val="00887CCF"/>
    <w:rsid w:val="0089029A"/>
    <w:rsid w:val="008909DD"/>
    <w:rsid w:val="00890DFC"/>
    <w:rsid w:val="00891035"/>
    <w:rsid w:val="0089110F"/>
    <w:rsid w:val="008915BC"/>
    <w:rsid w:val="00891B57"/>
    <w:rsid w:val="00892944"/>
    <w:rsid w:val="00892B91"/>
    <w:rsid w:val="00894A95"/>
    <w:rsid w:val="008952F3"/>
    <w:rsid w:val="00895353"/>
    <w:rsid w:val="00895483"/>
    <w:rsid w:val="008958D3"/>
    <w:rsid w:val="00895ABF"/>
    <w:rsid w:val="00896420"/>
    <w:rsid w:val="00896542"/>
    <w:rsid w:val="00896C0B"/>
    <w:rsid w:val="00897185"/>
    <w:rsid w:val="00897FAB"/>
    <w:rsid w:val="008A0E32"/>
    <w:rsid w:val="008A110C"/>
    <w:rsid w:val="008A1122"/>
    <w:rsid w:val="008A3D31"/>
    <w:rsid w:val="008A48F8"/>
    <w:rsid w:val="008A6088"/>
    <w:rsid w:val="008A6401"/>
    <w:rsid w:val="008A674C"/>
    <w:rsid w:val="008A68D4"/>
    <w:rsid w:val="008A6A8B"/>
    <w:rsid w:val="008A720A"/>
    <w:rsid w:val="008A7A57"/>
    <w:rsid w:val="008B0CB7"/>
    <w:rsid w:val="008B0CC1"/>
    <w:rsid w:val="008B0DD9"/>
    <w:rsid w:val="008B0F73"/>
    <w:rsid w:val="008B1BE5"/>
    <w:rsid w:val="008B20B9"/>
    <w:rsid w:val="008B2118"/>
    <w:rsid w:val="008B2370"/>
    <w:rsid w:val="008B2A88"/>
    <w:rsid w:val="008B2FB3"/>
    <w:rsid w:val="008B3374"/>
    <w:rsid w:val="008B348B"/>
    <w:rsid w:val="008B5231"/>
    <w:rsid w:val="008B5933"/>
    <w:rsid w:val="008B665B"/>
    <w:rsid w:val="008C0014"/>
    <w:rsid w:val="008C0308"/>
    <w:rsid w:val="008C07E1"/>
    <w:rsid w:val="008C1550"/>
    <w:rsid w:val="008C1BC5"/>
    <w:rsid w:val="008C1EC8"/>
    <w:rsid w:val="008C2119"/>
    <w:rsid w:val="008C22B6"/>
    <w:rsid w:val="008C2A35"/>
    <w:rsid w:val="008C3D78"/>
    <w:rsid w:val="008C3FC9"/>
    <w:rsid w:val="008C41C3"/>
    <w:rsid w:val="008C457C"/>
    <w:rsid w:val="008C462F"/>
    <w:rsid w:val="008C4899"/>
    <w:rsid w:val="008C4A77"/>
    <w:rsid w:val="008C4BC4"/>
    <w:rsid w:val="008C6FA0"/>
    <w:rsid w:val="008D02E4"/>
    <w:rsid w:val="008D03F4"/>
    <w:rsid w:val="008D0908"/>
    <w:rsid w:val="008D2208"/>
    <w:rsid w:val="008D29F0"/>
    <w:rsid w:val="008D5234"/>
    <w:rsid w:val="008D582C"/>
    <w:rsid w:val="008D5C80"/>
    <w:rsid w:val="008D6975"/>
    <w:rsid w:val="008D6EAD"/>
    <w:rsid w:val="008D6F34"/>
    <w:rsid w:val="008D72C1"/>
    <w:rsid w:val="008E0B5E"/>
    <w:rsid w:val="008E1577"/>
    <w:rsid w:val="008E2C4D"/>
    <w:rsid w:val="008E3289"/>
    <w:rsid w:val="008E3502"/>
    <w:rsid w:val="008E36B1"/>
    <w:rsid w:val="008E3AAC"/>
    <w:rsid w:val="008E3DA7"/>
    <w:rsid w:val="008E4211"/>
    <w:rsid w:val="008E4C68"/>
    <w:rsid w:val="008E61A6"/>
    <w:rsid w:val="008E627D"/>
    <w:rsid w:val="008E741E"/>
    <w:rsid w:val="008F111E"/>
    <w:rsid w:val="008F1137"/>
    <w:rsid w:val="008F18CD"/>
    <w:rsid w:val="008F1983"/>
    <w:rsid w:val="008F1A3E"/>
    <w:rsid w:val="008F1BF3"/>
    <w:rsid w:val="008F2A60"/>
    <w:rsid w:val="008F2DAE"/>
    <w:rsid w:val="008F3052"/>
    <w:rsid w:val="008F34AA"/>
    <w:rsid w:val="008F361B"/>
    <w:rsid w:val="008F3C37"/>
    <w:rsid w:val="008F44C9"/>
    <w:rsid w:val="008F4B56"/>
    <w:rsid w:val="008F5EC7"/>
    <w:rsid w:val="008F7389"/>
    <w:rsid w:val="0090007E"/>
    <w:rsid w:val="0090126E"/>
    <w:rsid w:val="00901595"/>
    <w:rsid w:val="009017E9"/>
    <w:rsid w:val="00901B6E"/>
    <w:rsid w:val="00901CDE"/>
    <w:rsid w:val="00901FB6"/>
    <w:rsid w:val="0090256E"/>
    <w:rsid w:val="009029F3"/>
    <w:rsid w:val="009039D5"/>
    <w:rsid w:val="00903A3F"/>
    <w:rsid w:val="00903BC2"/>
    <w:rsid w:val="00903DC5"/>
    <w:rsid w:val="00903EF6"/>
    <w:rsid w:val="009062BE"/>
    <w:rsid w:val="00907FE5"/>
    <w:rsid w:val="009104CD"/>
    <w:rsid w:val="009106F8"/>
    <w:rsid w:val="00910712"/>
    <w:rsid w:val="0091076E"/>
    <w:rsid w:val="00910EED"/>
    <w:rsid w:val="00911A3A"/>
    <w:rsid w:val="00911E06"/>
    <w:rsid w:val="0091202D"/>
    <w:rsid w:val="009126CF"/>
    <w:rsid w:val="0091284B"/>
    <w:rsid w:val="00912A1C"/>
    <w:rsid w:val="0091370F"/>
    <w:rsid w:val="00913C89"/>
    <w:rsid w:val="009140D0"/>
    <w:rsid w:val="00915EFB"/>
    <w:rsid w:val="009161E6"/>
    <w:rsid w:val="009162E7"/>
    <w:rsid w:val="00916F1D"/>
    <w:rsid w:val="00917277"/>
    <w:rsid w:val="00917286"/>
    <w:rsid w:val="009173C6"/>
    <w:rsid w:val="0092150D"/>
    <w:rsid w:val="0092157F"/>
    <w:rsid w:val="009218D5"/>
    <w:rsid w:val="00921ECD"/>
    <w:rsid w:val="00922FEF"/>
    <w:rsid w:val="009231A7"/>
    <w:rsid w:val="00924E1B"/>
    <w:rsid w:val="00925247"/>
    <w:rsid w:val="009260E6"/>
    <w:rsid w:val="009262B7"/>
    <w:rsid w:val="00930E3E"/>
    <w:rsid w:val="00930E62"/>
    <w:rsid w:val="0093136B"/>
    <w:rsid w:val="00932CEE"/>
    <w:rsid w:val="0093361D"/>
    <w:rsid w:val="0093362F"/>
    <w:rsid w:val="00933952"/>
    <w:rsid w:val="00933BBA"/>
    <w:rsid w:val="00933D04"/>
    <w:rsid w:val="00933D42"/>
    <w:rsid w:val="009341C2"/>
    <w:rsid w:val="009346A2"/>
    <w:rsid w:val="00934C53"/>
    <w:rsid w:val="00935248"/>
    <w:rsid w:val="00935AE1"/>
    <w:rsid w:val="00935C7F"/>
    <w:rsid w:val="00935F54"/>
    <w:rsid w:val="00936EFF"/>
    <w:rsid w:val="00937640"/>
    <w:rsid w:val="00937E89"/>
    <w:rsid w:val="00937ED1"/>
    <w:rsid w:val="00940D98"/>
    <w:rsid w:val="00941346"/>
    <w:rsid w:val="00941E4A"/>
    <w:rsid w:val="00941E65"/>
    <w:rsid w:val="00941E7B"/>
    <w:rsid w:val="0094292B"/>
    <w:rsid w:val="00943112"/>
    <w:rsid w:val="009443AC"/>
    <w:rsid w:val="009443F9"/>
    <w:rsid w:val="00944752"/>
    <w:rsid w:val="00944B7E"/>
    <w:rsid w:val="00945780"/>
    <w:rsid w:val="00945842"/>
    <w:rsid w:val="00945A37"/>
    <w:rsid w:val="00947D6B"/>
    <w:rsid w:val="0095004F"/>
    <w:rsid w:val="009503E2"/>
    <w:rsid w:val="00950CC6"/>
    <w:rsid w:val="00950E3A"/>
    <w:rsid w:val="00951833"/>
    <w:rsid w:val="00951FC4"/>
    <w:rsid w:val="00952BB8"/>
    <w:rsid w:val="00953696"/>
    <w:rsid w:val="00953DEE"/>
    <w:rsid w:val="0095494C"/>
    <w:rsid w:val="00954FEC"/>
    <w:rsid w:val="00955081"/>
    <w:rsid w:val="00955F34"/>
    <w:rsid w:val="00956044"/>
    <w:rsid w:val="00956EF8"/>
    <w:rsid w:val="00957085"/>
    <w:rsid w:val="00960648"/>
    <w:rsid w:val="009608ED"/>
    <w:rsid w:val="00960AE0"/>
    <w:rsid w:val="00960F06"/>
    <w:rsid w:val="00960F41"/>
    <w:rsid w:val="0096139B"/>
    <w:rsid w:val="009615C9"/>
    <w:rsid w:val="00962568"/>
    <w:rsid w:val="0096282E"/>
    <w:rsid w:val="00962952"/>
    <w:rsid w:val="0096295A"/>
    <w:rsid w:val="00963114"/>
    <w:rsid w:val="00963C89"/>
    <w:rsid w:val="009641F6"/>
    <w:rsid w:val="00966102"/>
    <w:rsid w:val="00966A4E"/>
    <w:rsid w:val="00967635"/>
    <w:rsid w:val="0097064E"/>
    <w:rsid w:val="00970F5A"/>
    <w:rsid w:val="0097153A"/>
    <w:rsid w:val="0097219B"/>
    <w:rsid w:val="00972AE9"/>
    <w:rsid w:val="00972C78"/>
    <w:rsid w:val="00973CDA"/>
    <w:rsid w:val="0097407F"/>
    <w:rsid w:val="00974843"/>
    <w:rsid w:val="00974884"/>
    <w:rsid w:val="00975223"/>
    <w:rsid w:val="009752E8"/>
    <w:rsid w:val="009765B5"/>
    <w:rsid w:val="00976A04"/>
    <w:rsid w:val="009805BD"/>
    <w:rsid w:val="00980D77"/>
    <w:rsid w:val="00981B64"/>
    <w:rsid w:val="009822C0"/>
    <w:rsid w:val="00982DE5"/>
    <w:rsid w:val="00983D1B"/>
    <w:rsid w:val="00983EF6"/>
    <w:rsid w:val="0098403D"/>
    <w:rsid w:val="00985D5C"/>
    <w:rsid w:val="00986D75"/>
    <w:rsid w:val="00986E1B"/>
    <w:rsid w:val="009872ED"/>
    <w:rsid w:val="00990724"/>
    <w:rsid w:val="00991866"/>
    <w:rsid w:val="00991C1C"/>
    <w:rsid w:val="009940C1"/>
    <w:rsid w:val="00994C07"/>
    <w:rsid w:val="00994C35"/>
    <w:rsid w:val="009956FA"/>
    <w:rsid w:val="009960E7"/>
    <w:rsid w:val="00996355"/>
    <w:rsid w:val="00996961"/>
    <w:rsid w:val="00996A1E"/>
    <w:rsid w:val="009974B5"/>
    <w:rsid w:val="009974F2"/>
    <w:rsid w:val="00997DFD"/>
    <w:rsid w:val="009A01C0"/>
    <w:rsid w:val="009A078D"/>
    <w:rsid w:val="009A08D5"/>
    <w:rsid w:val="009A0E56"/>
    <w:rsid w:val="009A0E8C"/>
    <w:rsid w:val="009A1A14"/>
    <w:rsid w:val="009A220D"/>
    <w:rsid w:val="009A2F57"/>
    <w:rsid w:val="009A3C9B"/>
    <w:rsid w:val="009A4BBF"/>
    <w:rsid w:val="009A4D8C"/>
    <w:rsid w:val="009A5551"/>
    <w:rsid w:val="009A55C6"/>
    <w:rsid w:val="009A5894"/>
    <w:rsid w:val="009A68F9"/>
    <w:rsid w:val="009A7AA8"/>
    <w:rsid w:val="009A7EB3"/>
    <w:rsid w:val="009B014D"/>
    <w:rsid w:val="009B07FD"/>
    <w:rsid w:val="009B13F6"/>
    <w:rsid w:val="009B2B5F"/>
    <w:rsid w:val="009B2ECE"/>
    <w:rsid w:val="009B3CD7"/>
    <w:rsid w:val="009B4ABD"/>
    <w:rsid w:val="009B50A5"/>
    <w:rsid w:val="009B5DE7"/>
    <w:rsid w:val="009B5DF4"/>
    <w:rsid w:val="009B65F2"/>
    <w:rsid w:val="009B6C7A"/>
    <w:rsid w:val="009B6EE2"/>
    <w:rsid w:val="009B7BCC"/>
    <w:rsid w:val="009C036E"/>
    <w:rsid w:val="009C1249"/>
    <w:rsid w:val="009C12B5"/>
    <w:rsid w:val="009C14D5"/>
    <w:rsid w:val="009C19EA"/>
    <w:rsid w:val="009C1DFE"/>
    <w:rsid w:val="009C26AD"/>
    <w:rsid w:val="009C28AB"/>
    <w:rsid w:val="009C33E4"/>
    <w:rsid w:val="009C3667"/>
    <w:rsid w:val="009C3EA1"/>
    <w:rsid w:val="009C4645"/>
    <w:rsid w:val="009C4C6A"/>
    <w:rsid w:val="009C4DEF"/>
    <w:rsid w:val="009C5A15"/>
    <w:rsid w:val="009C6B70"/>
    <w:rsid w:val="009C6C29"/>
    <w:rsid w:val="009C75B5"/>
    <w:rsid w:val="009C79E8"/>
    <w:rsid w:val="009D0145"/>
    <w:rsid w:val="009D058F"/>
    <w:rsid w:val="009D067F"/>
    <w:rsid w:val="009D10FC"/>
    <w:rsid w:val="009D1CE7"/>
    <w:rsid w:val="009D28EA"/>
    <w:rsid w:val="009D2FA6"/>
    <w:rsid w:val="009D3157"/>
    <w:rsid w:val="009D3242"/>
    <w:rsid w:val="009D3D99"/>
    <w:rsid w:val="009D4272"/>
    <w:rsid w:val="009D4490"/>
    <w:rsid w:val="009D4CCF"/>
    <w:rsid w:val="009D4E69"/>
    <w:rsid w:val="009D4EC5"/>
    <w:rsid w:val="009D5606"/>
    <w:rsid w:val="009D5BEC"/>
    <w:rsid w:val="009D748F"/>
    <w:rsid w:val="009E11E0"/>
    <w:rsid w:val="009E18DD"/>
    <w:rsid w:val="009E1BB2"/>
    <w:rsid w:val="009E3BB3"/>
    <w:rsid w:val="009E4696"/>
    <w:rsid w:val="009E53EA"/>
    <w:rsid w:val="009E63B0"/>
    <w:rsid w:val="009E72AF"/>
    <w:rsid w:val="009E784B"/>
    <w:rsid w:val="009E7AEC"/>
    <w:rsid w:val="009F08AD"/>
    <w:rsid w:val="009F0AA8"/>
    <w:rsid w:val="009F1725"/>
    <w:rsid w:val="009F2A2E"/>
    <w:rsid w:val="009F2F50"/>
    <w:rsid w:val="009F32ED"/>
    <w:rsid w:val="009F38E3"/>
    <w:rsid w:val="009F3908"/>
    <w:rsid w:val="009F3B40"/>
    <w:rsid w:val="009F4895"/>
    <w:rsid w:val="009F58E9"/>
    <w:rsid w:val="009F5DF7"/>
    <w:rsid w:val="009F6BEB"/>
    <w:rsid w:val="009F73D7"/>
    <w:rsid w:val="00A0096A"/>
    <w:rsid w:val="00A013A5"/>
    <w:rsid w:val="00A024D7"/>
    <w:rsid w:val="00A02577"/>
    <w:rsid w:val="00A02BF8"/>
    <w:rsid w:val="00A03451"/>
    <w:rsid w:val="00A03633"/>
    <w:rsid w:val="00A0434E"/>
    <w:rsid w:val="00A0482D"/>
    <w:rsid w:val="00A04ADB"/>
    <w:rsid w:val="00A05828"/>
    <w:rsid w:val="00A067A1"/>
    <w:rsid w:val="00A06A02"/>
    <w:rsid w:val="00A0795F"/>
    <w:rsid w:val="00A07DF8"/>
    <w:rsid w:val="00A102FD"/>
    <w:rsid w:val="00A107B6"/>
    <w:rsid w:val="00A11244"/>
    <w:rsid w:val="00A1139B"/>
    <w:rsid w:val="00A11DCA"/>
    <w:rsid w:val="00A12023"/>
    <w:rsid w:val="00A121B5"/>
    <w:rsid w:val="00A1286B"/>
    <w:rsid w:val="00A13828"/>
    <w:rsid w:val="00A14361"/>
    <w:rsid w:val="00A146D2"/>
    <w:rsid w:val="00A14AFE"/>
    <w:rsid w:val="00A15DDC"/>
    <w:rsid w:val="00A168DF"/>
    <w:rsid w:val="00A205FD"/>
    <w:rsid w:val="00A21A7A"/>
    <w:rsid w:val="00A21CE3"/>
    <w:rsid w:val="00A22467"/>
    <w:rsid w:val="00A225E5"/>
    <w:rsid w:val="00A22FC4"/>
    <w:rsid w:val="00A23849"/>
    <w:rsid w:val="00A238B0"/>
    <w:rsid w:val="00A239F1"/>
    <w:rsid w:val="00A24630"/>
    <w:rsid w:val="00A25446"/>
    <w:rsid w:val="00A25FDA"/>
    <w:rsid w:val="00A26AEB"/>
    <w:rsid w:val="00A26E80"/>
    <w:rsid w:val="00A270EE"/>
    <w:rsid w:val="00A301CA"/>
    <w:rsid w:val="00A3125A"/>
    <w:rsid w:val="00A31AD1"/>
    <w:rsid w:val="00A31AE5"/>
    <w:rsid w:val="00A31EFD"/>
    <w:rsid w:val="00A3270C"/>
    <w:rsid w:val="00A32E28"/>
    <w:rsid w:val="00A32F71"/>
    <w:rsid w:val="00A33D91"/>
    <w:rsid w:val="00A33ED2"/>
    <w:rsid w:val="00A3405A"/>
    <w:rsid w:val="00A34845"/>
    <w:rsid w:val="00A356F7"/>
    <w:rsid w:val="00A35F67"/>
    <w:rsid w:val="00A36332"/>
    <w:rsid w:val="00A36959"/>
    <w:rsid w:val="00A37877"/>
    <w:rsid w:val="00A37A4E"/>
    <w:rsid w:val="00A40EDF"/>
    <w:rsid w:val="00A410A6"/>
    <w:rsid w:val="00A4142C"/>
    <w:rsid w:val="00A419DE"/>
    <w:rsid w:val="00A41DEA"/>
    <w:rsid w:val="00A425A8"/>
    <w:rsid w:val="00A4268C"/>
    <w:rsid w:val="00A426FA"/>
    <w:rsid w:val="00A42B03"/>
    <w:rsid w:val="00A42E04"/>
    <w:rsid w:val="00A43867"/>
    <w:rsid w:val="00A4389A"/>
    <w:rsid w:val="00A45AF4"/>
    <w:rsid w:val="00A467D0"/>
    <w:rsid w:val="00A46BF3"/>
    <w:rsid w:val="00A478FE"/>
    <w:rsid w:val="00A50340"/>
    <w:rsid w:val="00A51E0E"/>
    <w:rsid w:val="00A52AF5"/>
    <w:rsid w:val="00A52BEE"/>
    <w:rsid w:val="00A5570C"/>
    <w:rsid w:val="00A55E90"/>
    <w:rsid w:val="00A562F9"/>
    <w:rsid w:val="00A57239"/>
    <w:rsid w:val="00A57369"/>
    <w:rsid w:val="00A57CDE"/>
    <w:rsid w:val="00A57E9D"/>
    <w:rsid w:val="00A6034A"/>
    <w:rsid w:val="00A60C80"/>
    <w:rsid w:val="00A611C0"/>
    <w:rsid w:val="00A61499"/>
    <w:rsid w:val="00A61E09"/>
    <w:rsid w:val="00A61F78"/>
    <w:rsid w:val="00A62669"/>
    <w:rsid w:val="00A62AC2"/>
    <w:rsid w:val="00A62E3F"/>
    <w:rsid w:val="00A62E61"/>
    <w:rsid w:val="00A62FFF"/>
    <w:rsid w:val="00A638FC"/>
    <w:rsid w:val="00A63A5A"/>
    <w:rsid w:val="00A643FD"/>
    <w:rsid w:val="00A64C1C"/>
    <w:rsid w:val="00A654F5"/>
    <w:rsid w:val="00A65C52"/>
    <w:rsid w:val="00A65CB2"/>
    <w:rsid w:val="00A6661A"/>
    <w:rsid w:val="00A67276"/>
    <w:rsid w:val="00A674AF"/>
    <w:rsid w:val="00A677D5"/>
    <w:rsid w:val="00A7156C"/>
    <w:rsid w:val="00A72819"/>
    <w:rsid w:val="00A73311"/>
    <w:rsid w:val="00A739F1"/>
    <w:rsid w:val="00A73CB5"/>
    <w:rsid w:val="00A74171"/>
    <w:rsid w:val="00A74783"/>
    <w:rsid w:val="00A74BCF"/>
    <w:rsid w:val="00A74D5A"/>
    <w:rsid w:val="00A75A96"/>
    <w:rsid w:val="00A77067"/>
    <w:rsid w:val="00A772B0"/>
    <w:rsid w:val="00A776A2"/>
    <w:rsid w:val="00A77743"/>
    <w:rsid w:val="00A80086"/>
    <w:rsid w:val="00A8026E"/>
    <w:rsid w:val="00A808BE"/>
    <w:rsid w:val="00A8194C"/>
    <w:rsid w:val="00A81E64"/>
    <w:rsid w:val="00A83316"/>
    <w:rsid w:val="00A83FC3"/>
    <w:rsid w:val="00A84ABB"/>
    <w:rsid w:val="00A8540B"/>
    <w:rsid w:val="00A857CE"/>
    <w:rsid w:val="00A85938"/>
    <w:rsid w:val="00A8725F"/>
    <w:rsid w:val="00A873C0"/>
    <w:rsid w:val="00A87413"/>
    <w:rsid w:val="00A87416"/>
    <w:rsid w:val="00A913D6"/>
    <w:rsid w:val="00A91405"/>
    <w:rsid w:val="00A918BE"/>
    <w:rsid w:val="00A91FBA"/>
    <w:rsid w:val="00A924B6"/>
    <w:rsid w:val="00A92917"/>
    <w:rsid w:val="00A93826"/>
    <w:rsid w:val="00A943BD"/>
    <w:rsid w:val="00A949D0"/>
    <w:rsid w:val="00A952E8"/>
    <w:rsid w:val="00A96B2C"/>
    <w:rsid w:val="00A97001"/>
    <w:rsid w:val="00A9710B"/>
    <w:rsid w:val="00A97633"/>
    <w:rsid w:val="00AA105E"/>
    <w:rsid w:val="00AA22E9"/>
    <w:rsid w:val="00AA28B3"/>
    <w:rsid w:val="00AA34E0"/>
    <w:rsid w:val="00AA3957"/>
    <w:rsid w:val="00AA4FAA"/>
    <w:rsid w:val="00AA5112"/>
    <w:rsid w:val="00AA51A3"/>
    <w:rsid w:val="00AA51F6"/>
    <w:rsid w:val="00AA52BE"/>
    <w:rsid w:val="00AA578C"/>
    <w:rsid w:val="00AA5FF5"/>
    <w:rsid w:val="00AA650D"/>
    <w:rsid w:val="00AA6B91"/>
    <w:rsid w:val="00AA6C82"/>
    <w:rsid w:val="00AA7F13"/>
    <w:rsid w:val="00AB06CF"/>
    <w:rsid w:val="00AB0AC8"/>
    <w:rsid w:val="00AB0B5F"/>
    <w:rsid w:val="00AB1721"/>
    <w:rsid w:val="00AB17BE"/>
    <w:rsid w:val="00AB1A49"/>
    <w:rsid w:val="00AB23A6"/>
    <w:rsid w:val="00AB3281"/>
    <w:rsid w:val="00AB4D4B"/>
    <w:rsid w:val="00AB5412"/>
    <w:rsid w:val="00AB548B"/>
    <w:rsid w:val="00AB6BEC"/>
    <w:rsid w:val="00AB72D3"/>
    <w:rsid w:val="00AB79F7"/>
    <w:rsid w:val="00AB7B95"/>
    <w:rsid w:val="00AC0458"/>
    <w:rsid w:val="00AC0ECF"/>
    <w:rsid w:val="00AC0FA6"/>
    <w:rsid w:val="00AC104D"/>
    <w:rsid w:val="00AC160E"/>
    <w:rsid w:val="00AC1648"/>
    <w:rsid w:val="00AC1B85"/>
    <w:rsid w:val="00AC263F"/>
    <w:rsid w:val="00AC29AF"/>
    <w:rsid w:val="00AC2AA4"/>
    <w:rsid w:val="00AC30F4"/>
    <w:rsid w:val="00AC3580"/>
    <w:rsid w:val="00AC35FD"/>
    <w:rsid w:val="00AC420A"/>
    <w:rsid w:val="00AC423A"/>
    <w:rsid w:val="00AC4553"/>
    <w:rsid w:val="00AC455B"/>
    <w:rsid w:val="00AC46C8"/>
    <w:rsid w:val="00AC4D4C"/>
    <w:rsid w:val="00AC4F8E"/>
    <w:rsid w:val="00AC5105"/>
    <w:rsid w:val="00AC5686"/>
    <w:rsid w:val="00AC56D0"/>
    <w:rsid w:val="00AC592E"/>
    <w:rsid w:val="00AC5C6F"/>
    <w:rsid w:val="00AC6886"/>
    <w:rsid w:val="00AC6F6B"/>
    <w:rsid w:val="00AC73DF"/>
    <w:rsid w:val="00AC74E2"/>
    <w:rsid w:val="00AC7640"/>
    <w:rsid w:val="00AC7661"/>
    <w:rsid w:val="00AC78D5"/>
    <w:rsid w:val="00AD15C1"/>
    <w:rsid w:val="00AD16D8"/>
    <w:rsid w:val="00AD2103"/>
    <w:rsid w:val="00AD2163"/>
    <w:rsid w:val="00AD22BC"/>
    <w:rsid w:val="00AD2515"/>
    <w:rsid w:val="00AD28F5"/>
    <w:rsid w:val="00AD3051"/>
    <w:rsid w:val="00AD36FF"/>
    <w:rsid w:val="00AD3FC3"/>
    <w:rsid w:val="00AD4D61"/>
    <w:rsid w:val="00AD53E3"/>
    <w:rsid w:val="00AD57BF"/>
    <w:rsid w:val="00AD6730"/>
    <w:rsid w:val="00AD6736"/>
    <w:rsid w:val="00AD745C"/>
    <w:rsid w:val="00AD7512"/>
    <w:rsid w:val="00AE1620"/>
    <w:rsid w:val="00AE1B01"/>
    <w:rsid w:val="00AE1E8B"/>
    <w:rsid w:val="00AE1EB5"/>
    <w:rsid w:val="00AE266D"/>
    <w:rsid w:val="00AE3F83"/>
    <w:rsid w:val="00AE43FC"/>
    <w:rsid w:val="00AE45FA"/>
    <w:rsid w:val="00AE4968"/>
    <w:rsid w:val="00AE4A60"/>
    <w:rsid w:val="00AE5397"/>
    <w:rsid w:val="00AE5CF5"/>
    <w:rsid w:val="00AE6076"/>
    <w:rsid w:val="00AE715B"/>
    <w:rsid w:val="00AE7524"/>
    <w:rsid w:val="00AF12A3"/>
    <w:rsid w:val="00AF1A03"/>
    <w:rsid w:val="00AF1A5D"/>
    <w:rsid w:val="00AF1F8D"/>
    <w:rsid w:val="00AF27AD"/>
    <w:rsid w:val="00AF2ED1"/>
    <w:rsid w:val="00AF3EBB"/>
    <w:rsid w:val="00AF4678"/>
    <w:rsid w:val="00AF4FAC"/>
    <w:rsid w:val="00B00448"/>
    <w:rsid w:val="00B00ABF"/>
    <w:rsid w:val="00B012A0"/>
    <w:rsid w:val="00B028F7"/>
    <w:rsid w:val="00B02FCD"/>
    <w:rsid w:val="00B0326A"/>
    <w:rsid w:val="00B036AE"/>
    <w:rsid w:val="00B03AED"/>
    <w:rsid w:val="00B045A9"/>
    <w:rsid w:val="00B04A58"/>
    <w:rsid w:val="00B04ED0"/>
    <w:rsid w:val="00B05179"/>
    <w:rsid w:val="00B054A7"/>
    <w:rsid w:val="00B05852"/>
    <w:rsid w:val="00B05CC6"/>
    <w:rsid w:val="00B05ED3"/>
    <w:rsid w:val="00B06615"/>
    <w:rsid w:val="00B06BC1"/>
    <w:rsid w:val="00B06F91"/>
    <w:rsid w:val="00B072A9"/>
    <w:rsid w:val="00B075E0"/>
    <w:rsid w:val="00B102E5"/>
    <w:rsid w:val="00B106A2"/>
    <w:rsid w:val="00B10845"/>
    <w:rsid w:val="00B11235"/>
    <w:rsid w:val="00B12020"/>
    <w:rsid w:val="00B12B5F"/>
    <w:rsid w:val="00B12C52"/>
    <w:rsid w:val="00B12CE5"/>
    <w:rsid w:val="00B13123"/>
    <w:rsid w:val="00B13220"/>
    <w:rsid w:val="00B133BE"/>
    <w:rsid w:val="00B137AF"/>
    <w:rsid w:val="00B13DB3"/>
    <w:rsid w:val="00B13F4D"/>
    <w:rsid w:val="00B142CA"/>
    <w:rsid w:val="00B144BF"/>
    <w:rsid w:val="00B14730"/>
    <w:rsid w:val="00B14C13"/>
    <w:rsid w:val="00B15588"/>
    <w:rsid w:val="00B159BD"/>
    <w:rsid w:val="00B1625E"/>
    <w:rsid w:val="00B16336"/>
    <w:rsid w:val="00B17D72"/>
    <w:rsid w:val="00B17E52"/>
    <w:rsid w:val="00B2069C"/>
    <w:rsid w:val="00B21462"/>
    <w:rsid w:val="00B2156E"/>
    <w:rsid w:val="00B21749"/>
    <w:rsid w:val="00B21B3D"/>
    <w:rsid w:val="00B21F9D"/>
    <w:rsid w:val="00B22D99"/>
    <w:rsid w:val="00B23487"/>
    <w:rsid w:val="00B24E17"/>
    <w:rsid w:val="00B2514C"/>
    <w:rsid w:val="00B262A9"/>
    <w:rsid w:val="00B274B2"/>
    <w:rsid w:val="00B27F33"/>
    <w:rsid w:val="00B301CF"/>
    <w:rsid w:val="00B31FED"/>
    <w:rsid w:val="00B324A5"/>
    <w:rsid w:val="00B33163"/>
    <w:rsid w:val="00B33474"/>
    <w:rsid w:val="00B33AE1"/>
    <w:rsid w:val="00B34202"/>
    <w:rsid w:val="00B34958"/>
    <w:rsid w:val="00B352CA"/>
    <w:rsid w:val="00B354D7"/>
    <w:rsid w:val="00B35EF3"/>
    <w:rsid w:val="00B3618E"/>
    <w:rsid w:val="00B36535"/>
    <w:rsid w:val="00B37CCD"/>
    <w:rsid w:val="00B400A9"/>
    <w:rsid w:val="00B40153"/>
    <w:rsid w:val="00B40444"/>
    <w:rsid w:val="00B404AC"/>
    <w:rsid w:val="00B40E47"/>
    <w:rsid w:val="00B412C4"/>
    <w:rsid w:val="00B416CE"/>
    <w:rsid w:val="00B41A46"/>
    <w:rsid w:val="00B41CE5"/>
    <w:rsid w:val="00B42CDF"/>
    <w:rsid w:val="00B42D56"/>
    <w:rsid w:val="00B42D6F"/>
    <w:rsid w:val="00B43028"/>
    <w:rsid w:val="00B434C4"/>
    <w:rsid w:val="00B43B4D"/>
    <w:rsid w:val="00B4422C"/>
    <w:rsid w:val="00B44B60"/>
    <w:rsid w:val="00B45757"/>
    <w:rsid w:val="00B4579D"/>
    <w:rsid w:val="00B45A4A"/>
    <w:rsid w:val="00B45ADA"/>
    <w:rsid w:val="00B45C68"/>
    <w:rsid w:val="00B45D2B"/>
    <w:rsid w:val="00B45FCC"/>
    <w:rsid w:val="00B46467"/>
    <w:rsid w:val="00B46C27"/>
    <w:rsid w:val="00B46EDA"/>
    <w:rsid w:val="00B47258"/>
    <w:rsid w:val="00B475EF"/>
    <w:rsid w:val="00B47A1E"/>
    <w:rsid w:val="00B506F5"/>
    <w:rsid w:val="00B508D5"/>
    <w:rsid w:val="00B51111"/>
    <w:rsid w:val="00B51208"/>
    <w:rsid w:val="00B5149B"/>
    <w:rsid w:val="00B525C4"/>
    <w:rsid w:val="00B529B7"/>
    <w:rsid w:val="00B52DA6"/>
    <w:rsid w:val="00B541AE"/>
    <w:rsid w:val="00B54AC3"/>
    <w:rsid w:val="00B54C44"/>
    <w:rsid w:val="00B55514"/>
    <w:rsid w:val="00B55D14"/>
    <w:rsid w:val="00B576CC"/>
    <w:rsid w:val="00B57F5F"/>
    <w:rsid w:val="00B61131"/>
    <w:rsid w:val="00B6197E"/>
    <w:rsid w:val="00B62796"/>
    <w:rsid w:val="00B63E59"/>
    <w:rsid w:val="00B6429D"/>
    <w:rsid w:val="00B644E2"/>
    <w:rsid w:val="00B648AC"/>
    <w:rsid w:val="00B64DBB"/>
    <w:rsid w:val="00B64FC5"/>
    <w:rsid w:val="00B6653B"/>
    <w:rsid w:val="00B668AF"/>
    <w:rsid w:val="00B671DA"/>
    <w:rsid w:val="00B70F9E"/>
    <w:rsid w:val="00B7117E"/>
    <w:rsid w:val="00B71646"/>
    <w:rsid w:val="00B71917"/>
    <w:rsid w:val="00B71F57"/>
    <w:rsid w:val="00B72FBC"/>
    <w:rsid w:val="00B74750"/>
    <w:rsid w:val="00B74BA8"/>
    <w:rsid w:val="00B75224"/>
    <w:rsid w:val="00B762FB"/>
    <w:rsid w:val="00B802F6"/>
    <w:rsid w:val="00B803B2"/>
    <w:rsid w:val="00B80A21"/>
    <w:rsid w:val="00B80D34"/>
    <w:rsid w:val="00B8111D"/>
    <w:rsid w:val="00B8321F"/>
    <w:rsid w:val="00B83547"/>
    <w:rsid w:val="00B84541"/>
    <w:rsid w:val="00B85DA7"/>
    <w:rsid w:val="00B85E04"/>
    <w:rsid w:val="00B869BB"/>
    <w:rsid w:val="00B87384"/>
    <w:rsid w:val="00B8778C"/>
    <w:rsid w:val="00B87BE0"/>
    <w:rsid w:val="00B9040E"/>
    <w:rsid w:val="00B90879"/>
    <w:rsid w:val="00B90987"/>
    <w:rsid w:val="00B90C0B"/>
    <w:rsid w:val="00B90DC6"/>
    <w:rsid w:val="00B910F4"/>
    <w:rsid w:val="00B91D5F"/>
    <w:rsid w:val="00B92270"/>
    <w:rsid w:val="00B922FD"/>
    <w:rsid w:val="00B92309"/>
    <w:rsid w:val="00B92C8C"/>
    <w:rsid w:val="00B92EA1"/>
    <w:rsid w:val="00B93F62"/>
    <w:rsid w:val="00B9404E"/>
    <w:rsid w:val="00B94728"/>
    <w:rsid w:val="00B9579D"/>
    <w:rsid w:val="00B95E6D"/>
    <w:rsid w:val="00B96EEC"/>
    <w:rsid w:val="00B976D2"/>
    <w:rsid w:val="00BA0359"/>
    <w:rsid w:val="00BA0D5D"/>
    <w:rsid w:val="00BA0F37"/>
    <w:rsid w:val="00BA10BE"/>
    <w:rsid w:val="00BA19ED"/>
    <w:rsid w:val="00BA23D1"/>
    <w:rsid w:val="00BA24C6"/>
    <w:rsid w:val="00BA2C14"/>
    <w:rsid w:val="00BA2E68"/>
    <w:rsid w:val="00BA2EFC"/>
    <w:rsid w:val="00BA2EFD"/>
    <w:rsid w:val="00BA3AE1"/>
    <w:rsid w:val="00BA3EBB"/>
    <w:rsid w:val="00BA53FE"/>
    <w:rsid w:val="00BA59C1"/>
    <w:rsid w:val="00BA617B"/>
    <w:rsid w:val="00BA671C"/>
    <w:rsid w:val="00BA68D9"/>
    <w:rsid w:val="00BA7AC2"/>
    <w:rsid w:val="00BA7F77"/>
    <w:rsid w:val="00BB06BB"/>
    <w:rsid w:val="00BB090D"/>
    <w:rsid w:val="00BB218B"/>
    <w:rsid w:val="00BB2618"/>
    <w:rsid w:val="00BB2EA2"/>
    <w:rsid w:val="00BB3106"/>
    <w:rsid w:val="00BB316B"/>
    <w:rsid w:val="00BB31BA"/>
    <w:rsid w:val="00BB331E"/>
    <w:rsid w:val="00BB349A"/>
    <w:rsid w:val="00BB507F"/>
    <w:rsid w:val="00BB5113"/>
    <w:rsid w:val="00BB5943"/>
    <w:rsid w:val="00BB5CB3"/>
    <w:rsid w:val="00BB6CD6"/>
    <w:rsid w:val="00BB6F47"/>
    <w:rsid w:val="00BB7FB9"/>
    <w:rsid w:val="00BC00C2"/>
    <w:rsid w:val="00BC0145"/>
    <w:rsid w:val="00BC0277"/>
    <w:rsid w:val="00BC27F9"/>
    <w:rsid w:val="00BC3255"/>
    <w:rsid w:val="00BC3DBB"/>
    <w:rsid w:val="00BC47C4"/>
    <w:rsid w:val="00BC4E37"/>
    <w:rsid w:val="00BC5421"/>
    <w:rsid w:val="00BC5CD5"/>
    <w:rsid w:val="00BC6CD6"/>
    <w:rsid w:val="00BC75F7"/>
    <w:rsid w:val="00BC7CBB"/>
    <w:rsid w:val="00BD0719"/>
    <w:rsid w:val="00BD216C"/>
    <w:rsid w:val="00BD25E1"/>
    <w:rsid w:val="00BD327C"/>
    <w:rsid w:val="00BD3622"/>
    <w:rsid w:val="00BD36E5"/>
    <w:rsid w:val="00BD376C"/>
    <w:rsid w:val="00BD3900"/>
    <w:rsid w:val="00BD3BE1"/>
    <w:rsid w:val="00BD429A"/>
    <w:rsid w:val="00BD59E6"/>
    <w:rsid w:val="00BD5C54"/>
    <w:rsid w:val="00BD5DB3"/>
    <w:rsid w:val="00BD728B"/>
    <w:rsid w:val="00BD7769"/>
    <w:rsid w:val="00BD7967"/>
    <w:rsid w:val="00BD7CF8"/>
    <w:rsid w:val="00BE0642"/>
    <w:rsid w:val="00BE0E71"/>
    <w:rsid w:val="00BE2383"/>
    <w:rsid w:val="00BE31C0"/>
    <w:rsid w:val="00BE35C0"/>
    <w:rsid w:val="00BE35D1"/>
    <w:rsid w:val="00BE3C0C"/>
    <w:rsid w:val="00BE3D8F"/>
    <w:rsid w:val="00BE42BB"/>
    <w:rsid w:val="00BE4605"/>
    <w:rsid w:val="00BE4632"/>
    <w:rsid w:val="00BE5462"/>
    <w:rsid w:val="00BE5599"/>
    <w:rsid w:val="00BE5B00"/>
    <w:rsid w:val="00BE6244"/>
    <w:rsid w:val="00BE6471"/>
    <w:rsid w:val="00BE6B45"/>
    <w:rsid w:val="00BE6D24"/>
    <w:rsid w:val="00BE70AC"/>
    <w:rsid w:val="00BE712E"/>
    <w:rsid w:val="00BE7628"/>
    <w:rsid w:val="00BE7E85"/>
    <w:rsid w:val="00BF062C"/>
    <w:rsid w:val="00BF14B5"/>
    <w:rsid w:val="00BF169B"/>
    <w:rsid w:val="00BF20A5"/>
    <w:rsid w:val="00BF2DCC"/>
    <w:rsid w:val="00BF2F7C"/>
    <w:rsid w:val="00BF31D7"/>
    <w:rsid w:val="00BF34DB"/>
    <w:rsid w:val="00BF3E59"/>
    <w:rsid w:val="00BF4751"/>
    <w:rsid w:val="00BF4D08"/>
    <w:rsid w:val="00BF60F9"/>
    <w:rsid w:val="00BF6D15"/>
    <w:rsid w:val="00C0088D"/>
    <w:rsid w:val="00C01323"/>
    <w:rsid w:val="00C0135C"/>
    <w:rsid w:val="00C0164D"/>
    <w:rsid w:val="00C01FA5"/>
    <w:rsid w:val="00C0210C"/>
    <w:rsid w:val="00C0224D"/>
    <w:rsid w:val="00C024CA"/>
    <w:rsid w:val="00C0413B"/>
    <w:rsid w:val="00C04E93"/>
    <w:rsid w:val="00C051DC"/>
    <w:rsid w:val="00C066C4"/>
    <w:rsid w:val="00C068F5"/>
    <w:rsid w:val="00C0698A"/>
    <w:rsid w:val="00C06E80"/>
    <w:rsid w:val="00C06FEA"/>
    <w:rsid w:val="00C10138"/>
    <w:rsid w:val="00C102A3"/>
    <w:rsid w:val="00C11496"/>
    <w:rsid w:val="00C11581"/>
    <w:rsid w:val="00C11703"/>
    <w:rsid w:val="00C11A5A"/>
    <w:rsid w:val="00C11E66"/>
    <w:rsid w:val="00C123BE"/>
    <w:rsid w:val="00C12614"/>
    <w:rsid w:val="00C12C1F"/>
    <w:rsid w:val="00C13277"/>
    <w:rsid w:val="00C13300"/>
    <w:rsid w:val="00C13536"/>
    <w:rsid w:val="00C137CB"/>
    <w:rsid w:val="00C14A2D"/>
    <w:rsid w:val="00C14BFE"/>
    <w:rsid w:val="00C157A8"/>
    <w:rsid w:val="00C1625D"/>
    <w:rsid w:val="00C16272"/>
    <w:rsid w:val="00C16E7A"/>
    <w:rsid w:val="00C20BCF"/>
    <w:rsid w:val="00C20C85"/>
    <w:rsid w:val="00C23A95"/>
    <w:rsid w:val="00C23FA4"/>
    <w:rsid w:val="00C24171"/>
    <w:rsid w:val="00C242D2"/>
    <w:rsid w:val="00C2484C"/>
    <w:rsid w:val="00C24DA4"/>
    <w:rsid w:val="00C254F4"/>
    <w:rsid w:val="00C25C62"/>
    <w:rsid w:val="00C26303"/>
    <w:rsid w:val="00C26706"/>
    <w:rsid w:val="00C26738"/>
    <w:rsid w:val="00C27F75"/>
    <w:rsid w:val="00C30BE4"/>
    <w:rsid w:val="00C3184A"/>
    <w:rsid w:val="00C31C7A"/>
    <w:rsid w:val="00C3229B"/>
    <w:rsid w:val="00C327B1"/>
    <w:rsid w:val="00C329A2"/>
    <w:rsid w:val="00C32A51"/>
    <w:rsid w:val="00C32F3D"/>
    <w:rsid w:val="00C33424"/>
    <w:rsid w:val="00C34547"/>
    <w:rsid w:val="00C35163"/>
    <w:rsid w:val="00C36418"/>
    <w:rsid w:val="00C37160"/>
    <w:rsid w:val="00C37AD6"/>
    <w:rsid w:val="00C40349"/>
    <w:rsid w:val="00C4063F"/>
    <w:rsid w:val="00C41487"/>
    <w:rsid w:val="00C4183A"/>
    <w:rsid w:val="00C41E8A"/>
    <w:rsid w:val="00C41EAC"/>
    <w:rsid w:val="00C42924"/>
    <w:rsid w:val="00C429C8"/>
    <w:rsid w:val="00C42C5F"/>
    <w:rsid w:val="00C42E2D"/>
    <w:rsid w:val="00C42E90"/>
    <w:rsid w:val="00C44068"/>
    <w:rsid w:val="00C44467"/>
    <w:rsid w:val="00C44C82"/>
    <w:rsid w:val="00C46653"/>
    <w:rsid w:val="00C47C5A"/>
    <w:rsid w:val="00C47E98"/>
    <w:rsid w:val="00C47EBA"/>
    <w:rsid w:val="00C50A00"/>
    <w:rsid w:val="00C52654"/>
    <w:rsid w:val="00C52D52"/>
    <w:rsid w:val="00C53EAE"/>
    <w:rsid w:val="00C53ED7"/>
    <w:rsid w:val="00C5414A"/>
    <w:rsid w:val="00C54C5A"/>
    <w:rsid w:val="00C54F6E"/>
    <w:rsid w:val="00C555CA"/>
    <w:rsid w:val="00C563CD"/>
    <w:rsid w:val="00C5674B"/>
    <w:rsid w:val="00C56A0D"/>
    <w:rsid w:val="00C606F7"/>
    <w:rsid w:val="00C612ED"/>
    <w:rsid w:val="00C61A99"/>
    <w:rsid w:val="00C61D90"/>
    <w:rsid w:val="00C626B8"/>
    <w:rsid w:val="00C628E3"/>
    <w:rsid w:val="00C62AE3"/>
    <w:rsid w:val="00C62C3A"/>
    <w:rsid w:val="00C64181"/>
    <w:rsid w:val="00C64F47"/>
    <w:rsid w:val="00C65663"/>
    <w:rsid w:val="00C65EAC"/>
    <w:rsid w:val="00C67F1C"/>
    <w:rsid w:val="00C70984"/>
    <w:rsid w:val="00C70C09"/>
    <w:rsid w:val="00C71C14"/>
    <w:rsid w:val="00C72099"/>
    <w:rsid w:val="00C72CA7"/>
    <w:rsid w:val="00C73B3B"/>
    <w:rsid w:val="00C73DE3"/>
    <w:rsid w:val="00C740F4"/>
    <w:rsid w:val="00C75904"/>
    <w:rsid w:val="00C81849"/>
    <w:rsid w:val="00C818DD"/>
    <w:rsid w:val="00C827ED"/>
    <w:rsid w:val="00C83DB1"/>
    <w:rsid w:val="00C84485"/>
    <w:rsid w:val="00C8453E"/>
    <w:rsid w:val="00C857E0"/>
    <w:rsid w:val="00C86F43"/>
    <w:rsid w:val="00C870C3"/>
    <w:rsid w:val="00C87A77"/>
    <w:rsid w:val="00C87D1E"/>
    <w:rsid w:val="00C900BE"/>
    <w:rsid w:val="00C915B0"/>
    <w:rsid w:val="00C92868"/>
    <w:rsid w:val="00C92C22"/>
    <w:rsid w:val="00C93EDB"/>
    <w:rsid w:val="00C93F08"/>
    <w:rsid w:val="00C94B8C"/>
    <w:rsid w:val="00C97590"/>
    <w:rsid w:val="00C9799C"/>
    <w:rsid w:val="00C979CF"/>
    <w:rsid w:val="00C97BDC"/>
    <w:rsid w:val="00CA0C6C"/>
    <w:rsid w:val="00CA0E17"/>
    <w:rsid w:val="00CA0E41"/>
    <w:rsid w:val="00CA2655"/>
    <w:rsid w:val="00CA2D4B"/>
    <w:rsid w:val="00CA30DC"/>
    <w:rsid w:val="00CA315E"/>
    <w:rsid w:val="00CA339C"/>
    <w:rsid w:val="00CA33A3"/>
    <w:rsid w:val="00CA35D0"/>
    <w:rsid w:val="00CA4E44"/>
    <w:rsid w:val="00CA4E77"/>
    <w:rsid w:val="00CA5ABB"/>
    <w:rsid w:val="00CA6131"/>
    <w:rsid w:val="00CA6400"/>
    <w:rsid w:val="00CA6D69"/>
    <w:rsid w:val="00CA70F5"/>
    <w:rsid w:val="00CA7D20"/>
    <w:rsid w:val="00CB04A0"/>
    <w:rsid w:val="00CB07B9"/>
    <w:rsid w:val="00CB0A9E"/>
    <w:rsid w:val="00CB0AE7"/>
    <w:rsid w:val="00CB0FEA"/>
    <w:rsid w:val="00CB23C7"/>
    <w:rsid w:val="00CB27E7"/>
    <w:rsid w:val="00CB4553"/>
    <w:rsid w:val="00CB5110"/>
    <w:rsid w:val="00CB57B1"/>
    <w:rsid w:val="00CB6677"/>
    <w:rsid w:val="00CB6DF6"/>
    <w:rsid w:val="00CB6E83"/>
    <w:rsid w:val="00CB732A"/>
    <w:rsid w:val="00CB78F5"/>
    <w:rsid w:val="00CB7AC8"/>
    <w:rsid w:val="00CB7D53"/>
    <w:rsid w:val="00CC1ACB"/>
    <w:rsid w:val="00CC23CC"/>
    <w:rsid w:val="00CC2777"/>
    <w:rsid w:val="00CC2DA8"/>
    <w:rsid w:val="00CC3F4D"/>
    <w:rsid w:val="00CC4581"/>
    <w:rsid w:val="00CC4961"/>
    <w:rsid w:val="00CC559F"/>
    <w:rsid w:val="00CC5E6D"/>
    <w:rsid w:val="00CC602D"/>
    <w:rsid w:val="00CC6980"/>
    <w:rsid w:val="00CC6ABA"/>
    <w:rsid w:val="00CC6FF0"/>
    <w:rsid w:val="00CC7294"/>
    <w:rsid w:val="00CC77E3"/>
    <w:rsid w:val="00CC79F1"/>
    <w:rsid w:val="00CD0810"/>
    <w:rsid w:val="00CD17A7"/>
    <w:rsid w:val="00CD1C9E"/>
    <w:rsid w:val="00CD1E22"/>
    <w:rsid w:val="00CD2B75"/>
    <w:rsid w:val="00CD32D5"/>
    <w:rsid w:val="00CD33BF"/>
    <w:rsid w:val="00CD343E"/>
    <w:rsid w:val="00CD3C47"/>
    <w:rsid w:val="00CD3CD0"/>
    <w:rsid w:val="00CD5277"/>
    <w:rsid w:val="00CD5771"/>
    <w:rsid w:val="00CD5B93"/>
    <w:rsid w:val="00CD63D1"/>
    <w:rsid w:val="00CD718E"/>
    <w:rsid w:val="00CD774A"/>
    <w:rsid w:val="00CD78C4"/>
    <w:rsid w:val="00CD7AD4"/>
    <w:rsid w:val="00CD7AFB"/>
    <w:rsid w:val="00CE00F5"/>
    <w:rsid w:val="00CE0387"/>
    <w:rsid w:val="00CE0782"/>
    <w:rsid w:val="00CE1FFD"/>
    <w:rsid w:val="00CE219F"/>
    <w:rsid w:val="00CE3156"/>
    <w:rsid w:val="00CE3D68"/>
    <w:rsid w:val="00CE3F98"/>
    <w:rsid w:val="00CE4332"/>
    <w:rsid w:val="00CE4434"/>
    <w:rsid w:val="00CE5968"/>
    <w:rsid w:val="00CE5E08"/>
    <w:rsid w:val="00CE6AEA"/>
    <w:rsid w:val="00CE7CE5"/>
    <w:rsid w:val="00CF1385"/>
    <w:rsid w:val="00CF1A4E"/>
    <w:rsid w:val="00CF1D55"/>
    <w:rsid w:val="00CF33F3"/>
    <w:rsid w:val="00CF3B1D"/>
    <w:rsid w:val="00CF3B24"/>
    <w:rsid w:val="00CF41CE"/>
    <w:rsid w:val="00CF488A"/>
    <w:rsid w:val="00CF4948"/>
    <w:rsid w:val="00CF5F50"/>
    <w:rsid w:val="00CF66ED"/>
    <w:rsid w:val="00CF7DFF"/>
    <w:rsid w:val="00D00040"/>
    <w:rsid w:val="00D00ABF"/>
    <w:rsid w:val="00D01808"/>
    <w:rsid w:val="00D02517"/>
    <w:rsid w:val="00D0275A"/>
    <w:rsid w:val="00D02C8D"/>
    <w:rsid w:val="00D02DE1"/>
    <w:rsid w:val="00D03A05"/>
    <w:rsid w:val="00D03ADC"/>
    <w:rsid w:val="00D04153"/>
    <w:rsid w:val="00D04470"/>
    <w:rsid w:val="00D04534"/>
    <w:rsid w:val="00D045DD"/>
    <w:rsid w:val="00D0481C"/>
    <w:rsid w:val="00D060D6"/>
    <w:rsid w:val="00D069A8"/>
    <w:rsid w:val="00D06FC7"/>
    <w:rsid w:val="00D1171B"/>
    <w:rsid w:val="00D11C3E"/>
    <w:rsid w:val="00D11D6F"/>
    <w:rsid w:val="00D11DEF"/>
    <w:rsid w:val="00D12673"/>
    <w:rsid w:val="00D13446"/>
    <w:rsid w:val="00D13F52"/>
    <w:rsid w:val="00D14154"/>
    <w:rsid w:val="00D14579"/>
    <w:rsid w:val="00D14808"/>
    <w:rsid w:val="00D1497F"/>
    <w:rsid w:val="00D14E14"/>
    <w:rsid w:val="00D14F5E"/>
    <w:rsid w:val="00D14FC7"/>
    <w:rsid w:val="00D150B4"/>
    <w:rsid w:val="00D16B7B"/>
    <w:rsid w:val="00D17258"/>
    <w:rsid w:val="00D176FF"/>
    <w:rsid w:val="00D17D03"/>
    <w:rsid w:val="00D20540"/>
    <w:rsid w:val="00D20C73"/>
    <w:rsid w:val="00D21ED1"/>
    <w:rsid w:val="00D24263"/>
    <w:rsid w:val="00D24C72"/>
    <w:rsid w:val="00D24F55"/>
    <w:rsid w:val="00D258DA"/>
    <w:rsid w:val="00D25BE2"/>
    <w:rsid w:val="00D25DF8"/>
    <w:rsid w:val="00D26869"/>
    <w:rsid w:val="00D27C01"/>
    <w:rsid w:val="00D27DB5"/>
    <w:rsid w:val="00D3004D"/>
    <w:rsid w:val="00D309FD"/>
    <w:rsid w:val="00D3130C"/>
    <w:rsid w:val="00D31F60"/>
    <w:rsid w:val="00D32D1A"/>
    <w:rsid w:val="00D32D59"/>
    <w:rsid w:val="00D333F8"/>
    <w:rsid w:val="00D334B9"/>
    <w:rsid w:val="00D33B9F"/>
    <w:rsid w:val="00D366C9"/>
    <w:rsid w:val="00D36ACF"/>
    <w:rsid w:val="00D37ACD"/>
    <w:rsid w:val="00D37CEB"/>
    <w:rsid w:val="00D40058"/>
    <w:rsid w:val="00D40064"/>
    <w:rsid w:val="00D4072C"/>
    <w:rsid w:val="00D407B7"/>
    <w:rsid w:val="00D40A8D"/>
    <w:rsid w:val="00D41BC5"/>
    <w:rsid w:val="00D41E8F"/>
    <w:rsid w:val="00D42E28"/>
    <w:rsid w:val="00D43380"/>
    <w:rsid w:val="00D434B0"/>
    <w:rsid w:val="00D43622"/>
    <w:rsid w:val="00D43C40"/>
    <w:rsid w:val="00D44774"/>
    <w:rsid w:val="00D4477E"/>
    <w:rsid w:val="00D44CFF"/>
    <w:rsid w:val="00D45167"/>
    <w:rsid w:val="00D45DFB"/>
    <w:rsid w:val="00D46050"/>
    <w:rsid w:val="00D46ACF"/>
    <w:rsid w:val="00D47727"/>
    <w:rsid w:val="00D47AD4"/>
    <w:rsid w:val="00D50095"/>
    <w:rsid w:val="00D51C1F"/>
    <w:rsid w:val="00D521B7"/>
    <w:rsid w:val="00D5222F"/>
    <w:rsid w:val="00D52274"/>
    <w:rsid w:val="00D52C91"/>
    <w:rsid w:val="00D5312E"/>
    <w:rsid w:val="00D531DA"/>
    <w:rsid w:val="00D5336E"/>
    <w:rsid w:val="00D535C9"/>
    <w:rsid w:val="00D54203"/>
    <w:rsid w:val="00D55256"/>
    <w:rsid w:val="00D554DA"/>
    <w:rsid w:val="00D554F2"/>
    <w:rsid w:val="00D56795"/>
    <w:rsid w:val="00D56FA0"/>
    <w:rsid w:val="00D571B8"/>
    <w:rsid w:val="00D576AC"/>
    <w:rsid w:val="00D57E05"/>
    <w:rsid w:val="00D57EBE"/>
    <w:rsid w:val="00D606C6"/>
    <w:rsid w:val="00D6098E"/>
    <w:rsid w:val="00D610D0"/>
    <w:rsid w:val="00D610EC"/>
    <w:rsid w:val="00D61A22"/>
    <w:rsid w:val="00D61AB0"/>
    <w:rsid w:val="00D61D66"/>
    <w:rsid w:val="00D620D2"/>
    <w:rsid w:val="00D62E36"/>
    <w:rsid w:val="00D63089"/>
    <w:rsid w:val="00D63830"/>
    <w:rsid w:val="00D653CE"/>
    <w:rsid w:val="00D66844"/>
    <w:rsid w:val="00D66D6C"/>
    <w:rsid w:val="00D67571"/>
    <w:rsid w:val="00D67815"/>
    <w:rsid w:val="00D700CA"/>
    <w:rsid w:val="00D701F6"/>
    <w:rsid w:val="00D707A8"/>
    <w:rsid w:val="00D7082E"/>
    <w:rsid w:val="00D70951"/>
    <w:rsid w:val="00D70B3E"/>
    <w:rsid w:val="00D7121E"/>
    <w:rsid w:val="00D719F4"/>
    <w:rsid w:val="00D71A1A"/>
    <w:rsid w:val="00D72297"/>
    <w:rsid w:val="00D726B7"/>
    <w:rsid w:val="00D7394D"/>
    <w:rsid w:val="00D73B26"/>
    <w:rsid w:val="00D73BCE"/>
    <w:rsid w:val="00D73EC3"/>
    <w:rsid w:val="00D73FFA"/>
    <w:rsid w:val="00D74360"/>
    <w:rsid w:val="00D74631"/>
    <w:rsid w:val="00D74B1C"/>
    <w:rsid w:val="00D7545A"/>
    <w:rsid w:val="00D754A7"/>
    <w:rsid w:val="00D7577A"/>
    <w:rsid w:val="00D7674B"/>
    <w:rsid w:val="00D769F4"/>
    <w:rsid w:val="00D7765A"/>
    <w:rsid w:val="00D77DA0"/>
    <w:rsid w:val="00D80300"/>
    <w:rsid w:val="00D80368"/>
    <w:rsid w:val="00D80509"/>
    <w:rsid w:val="00D80A50"/>
    <w:rsid w:val="00D81777"/>
    <w:rsid w:val="00D81A88"/>
    <w:rsid w:val="00D822B1"/>
    <w:rsid w:val="00D82301"/>
    <w:rsid w:val="00D83337"/>
    <w:rsid w:val="00D839C3"/>
    <w:rsid w:val="00D839F5"/>
    <w:rsid w:val="00D83E80"/>
    <w:rsid w:val="00D83FAB"/>
    <w:rsid w:val="00D84024"/>
    <w:rsid w:val="00D840F2"/>
    <w:rsid w:val="00D84627"/>
    <w:rsid w:val="00D84A61"/>
    <w:rsid w:val="00D84D92"/>
    <w:rsid w:val="00D850B9"/>
    <w:rsid w:val="00D858FA"/>
    <w:rsid w:val="00D85FB5"/>
    <w:rsid w:val="00D866AF"/>
    <w:rsid w:val="00D86C7C"/>
    <w:rsid w:val="00D86CDF"/>
    <w:rsid w:val="00D870A7"/>
    <w:rsid w:val="00D8763A"/>
    <w:rsid w:val="00D904D7"/>
    <w:rsid w:val="00D905CD"/>
    <w:rsid w:val="00D90CEE"/>
    <w:rsid w:val="00D90FD0"/>
    <w:rsid w:val="00D91785"/>
    <w:rsid w:val="00D91C01"/>
    <w:rsid w:val="00D91E60"/>
    <w:rsid w:val="00D91F7D"/>
    <w:rsid w:val="00D924C2"/>
    <w:rsid w:val="00D92907"/>
    <w:rsid w:val="00D92AFE"/>
    <w:rsid w:val="00D92BAC"/>
    <w:rsid w:val="00D9334F"/>
    <w:rsid w:val="00D93440"/>
    <w:rsid w:val="00D93462"/>
    <w:rsid w:val="00D93753"/>
    <w:rsid w:val="00D93AA1"/>
    <w:rsid w:val="00D946E1"/>
    <w:rsid w:val="00D9703E"/>
    <w:rsid w:val="00D9745C"/>
    <w:rsid w:val="00D979AC"/>
    <w:rsid w:val="00D97B7F"/>
    <w:rsid w:val="00DA0162"/>
    <w:rsid w:val="00DA1251"/>
    <w:rsid w:val="00DA1996"/>
    <w:rsid w:val="00DA3CBA"/>
    <w:rsid w:val="00DA4522"/>
    <w:rsid w:val="00DA461E"/>
    <w:rsid w:val="00DA5214"/>
    <w:rsid w:val="00DA56DF"/>
    <w:rsid w:val="00DA6190"/>
    <w:rsid w:val="00DA6B0A"/>
    <w:rsid w:val="00DA7F18"/>
    <w:rsid w:val="00DB0567"/>
    <w:rsid w:val="00DB0AE6"/>
    <w:rsid w:val="00DB0EF1"/>
    <w:rsid w:val="00DB169C"/>
    <w:rsid w:val="00DB20F7"/>
    <w:rsid w:val="00DB21D3"/>
    <w:rsid w:val="00DB228B"/>
    <w:rsid w:val="00DB29D2"/>
    <w:rsid w:val="00DB34BC"/>
    <w:rsid w:val="00DB366E"/>
    <w:rsid w:val="00DB50D5"/>
    <w:rsid w:val="00DB59DB"/>
    <w:rsid w:val="00DB5D40"/>
    <w:rsid w:val="00DB609E"/>
    <w:rsid w:val="00DB6365"/>
    <w:rsid w:val="00DB6742"/>
    <w:rsid w:val="00DB683C"/>
    <w:rsid w:val="00DB6BA1"/>
    <w:rsid w:val="00DB6C9A"/>
    <w:rsid w:val="00DB7504"/>
    <w:rsid w:val="00DC0580"/>
    <w:rsid w:val="00DC0F0F"/>
    <w:rsid w:val="00DC11E2"/>
    <w:rsid w:val="00DC134D"/>
    <w:rsid w:val="00DC160F"/>
    <w:rsid w:val="00DC21FD"/>
    <w:rsid w:val="00DC2EE5"/>
    <w:rsid w:val="00DC3643"/>
    <w:rsid w:val="00DC3E52"/>
    <w:rsid w:val="00DC438E"/>
    <w:rsid w:val="00DC491D"/>
    <w:rsid w:val="00DC5C32"/>
    <w:rsid w:val="00DC67B6"/>
    <w:rsid w:val="00DC67E5"/>
    <w:rsid w:val="00DC68EB"/>
    <w:rsid w:val="00DC6D04"/>
    <w:rsid w:val="00DC70B2"/>
    <w:rsid w:val="00DC74D5"/>
    <w:rsid w:val="00DC788C"/>
    <w:rsid w:val="00DC7E0C"/>
    <w:rsid w:val="00DD006A"/>
    <w:rsid w:val="00DD0401"/>
    <w:rsid w:val="00DD0D2E"/>
    <w:rsid w:val="00DD270C"/>
    <w:rsid w:val="00DD321E"/>
    <w:rsid w:val="00DD47CB"/>
    <w:rsid w:val="00DD4F30"/>
    <w:rsid w:val="00DD5B62"/>
    <w:rsid w:val="00DD64F6"/>
    <w:rsid w:val="00DD68ED"/>
    <w:rsid w:val="00DD734A"/>
    <w:rsid w:val="00DD7B0B"/>
    <w:rsid w:val="00DD7CAC"/>
    <w:rsid w:val="00DE1164"/>
    <w:rsid w:val="00DE1D0A"/>
    <w:rsid w:val="00DE2423"/>
    <w:rsid w:val="00DE255B"/>
    <w:rsid w:val="00DE2C3E"/>
    <w:rsid w:val="00DE2E0F"/>
    <w:rsid w:val="00DE2F04"/>
    <w:rsid w:val="00DE32C1"/>
    <w:rsid w:val="00DE39B5"/>
    <w:rsid w:val="00DE484E"/>
    <w:rsid w:val="00DE7AEC"/>
    <w:rsid w:val="00DF0378"/>
    <w:rsid w:val="00DF0C25"/>
    <w:rsid w:val="00DF0FAD"/>
    <w:rsid w:val="00DF14C6"/>
    <w:rsid w:val="00DF18FA"/>
    <w:rsid w:val="00DF1EA1"/>
    <w:rsid w:val="00DF259E"/>
    <w:rsid w:val="00DF327A"/>
    <w:rsid w:val="00DF339F"/>
    <w:rsid w:val="00DF3959"/>
    <w:rsid w:val="00DF398A"/>
    <w:rsid w:val="00DF4345"/>
    <w:rsid w:val="00DF5007"/>
    <w:rsid w:val="00DF558B"/>
    <w:rsid w:val="00DF5621"/>
    <w:rsid w:val="00DF5CA7"/>
    <w:rsid w:val="00DF5EDD"/>
    <w:rsid w:val="00DF663F"/>
    <w:rsid w:val="00DF71E2"/>
    <w:rsid w:val="00DF747C"/>
    <w:rsid w:val="00DF7635"/>
    <w:rsid w:val="00DF7920"/>
    <w:rsid w:val="00DF7D99"/>
    <w:rsid w:val="00DF7E57"/>
    <w:rsid w:val="00DF7FF7"/>
    <w:rsid w:val="00E00089"/>
    <w:rsid w:val="00E00B89"/>
    <w:rsid w:val="00E01716"/>
    <w:rsid w:val="00E01816"/>
    <w:rsid w:val="00E0192B"/>
    <w:rsid w:val="00E01EDA"/>
    <w:rsid w:val="00E02A4D"/>
    <w:rsid w:val="00E02BCF"/>
    <w:rsid w:val="00E03E56"/>
    <w:rsid w:val="00E03F61"/>
    <w:rsid w:val="00E040BC"/>
    <w:rsid w:val="00E05551"/>
    <w:rsid w:val="00E0653B"/>
    <w:rsid w:val="00E06C15"/>
    <w:rsid w:val="00E102D3"/>
    <w:rsid w:val="00E10331"/>
    <w:rsid w:val="00E104D0"/>
    <w:rsid w:val="00E10FF8"/>
    <w:rsid w:val="00E116C8"/>
    <w:rsid w:val="00E12233"/>
    <w:rsid w:val="00E122B7"/>
    <w:rsid w:val="00E1243B"/>
    <w:rsid w:val="00E137DD"/>
    <w:rsid w:val="00E138A5"/>
    <w:rsid w:val="00E1446A"/>
    <w:rsid w:val="00E148E1"/>
    <w:rsid w:val="00E14D08"/>
    <w:rsid w:val="00E1574A"/>
    <w:rsid w:val="00E15FA3"/>
    <w:rsid w:val="00E16258"/>
    <w:rsid w:val="00E16693"/>
    <w:rsid w:val="00E166FF"/>
    <w:rsid w:val="00E16BEB"/>
    <w:rsid w:val="00E17A76"/>
    <w:rsid w:val="00E17AB2"/>
    <w:rsid w:val="00E17E73"/>
    <w:rsid w:val="00E20BA2"/>
    <w:rsid w:val="00E20C54"/>
    <w:rsid w:val="00E21D50"/>
    <w:rsid w:val="00E2283E"/>
    <w:rsid w:val="00E23088"/>
    <w:rsid w:val="00E240EF"/>
    <w:rsid w:val="00E25409"/>
    <w:rsid w:val="00E25646"/>
    <w:rsid w:val="00E26065"/>
    <w:rsid w:val="00E26265"/>
    <w:rsid w:val="00E26552"/>
    <w:rsid w:val="00E273FF"/>
    <w:rsid w:val="00E27B49"/>
    <w:rsid w:val="00E27DC3"/>
    <w:rsid w:val="00E27F00"/>
    <w:rsid w:val="00E308C0"/>
    <w:rsid w:val="00E31065"/>
    <w:rsid w:val="00E312E1"/>
    <w:rsid w:val="00E33810"/>
    <w:rsid w:val="00E33EAD"/>
    <w:rsid w:val="00E34DE1"/>
    <w:rsid w:val="00E35409"/>
    <w:rsid w:val="00E355F0"/>
    <w:rsid w:val="00E35691"/>
    <w:rsid w:val="00E36272"/>
    <w:rsid w:val="00E36AF8"/>
    <w:rsid w:val="00E416CE"/>
    <w:rsid w:val="00E416E4"/>
    <w:rsid w:val="00E416F4"/>
    <w:rsid w:val="00E41EAB"/>
    <w:rsid w:val="00E420E1"/>
    <w:rsid w:val="00E42711"/>
    <w:rsid w:val="00E43726"/>
    <w:rsid w:val="00E43B99"/>
    <w:rsid w:val="00E44ED5"/>
    <w:rsid w:val="00E46365"/>
    <w:rsid w:val="00E46CDB"/>
    <w:rsid w:val="00E46DD1"/>
    <w:rsid w:val="00E473D0"/>
    <w:rsid w:val="00E503F3"/>
    <w:rsid w:val="00E50B51"/>
    <w:rsid w:val="00E519DB"/>
    <w:rsid w:val="00E51EE0"/>
    <w:rsid w:val="00E52ADB"/>
    <w:rsid w:val="00E52B6C"/>
    <w:rsid w:val="00E52BAE"/>
    <w:rsid w:val="00E532FE"/>
    <w:rsid w:val="00E53EAA"/>
    <w:rsid w:val="00E541D8"/>
    <w:rsid w:val="00E54412"/>
    <w:rsid w:val="00E55CB4"/>
    <w:rsid w:val="00E55DC7"/>
    <w:rsid w:val="00E566F6"/>
    <w:rsid w:val="00E56F61"/>
    <w:rsid w:val="00E574A4"/>
    <w:rsid w:val="00E57DAD"/>
    <w:rsid w:val="00E57F58"/>
    <w:rsid w:val="00E60300"/>
    <w:rsid w:val="00E60660"/>
    <w:rsid w:val="00E61363"/>
    <w:rsid w:val="00E61375"/>
    <w:rsid w:val="00E61A6E"/>
    <w:rsid w:val="00E622CB"/>
    <w:rsid w:val="00E62D25"/>
    <w:rsid w:val="00E62F30"/>
    <w:rsid w:val="00E630EB"/>
    <w:rsid w:val="00E64071"/>
    <w:rsid w:val="00E64320"/>
    <w:rsid w:val="00E64F1E"/>
    <w:rsid w:val="00E65B4B"/>
    <w:rsid w:val="00E65BE7"/>
    <w:rsid w:val="00E65E97"/>
    <w:rsid w:val="00E66BDD"/>
    <w:rsid w:val="00E66E4B"/>
    <w:rsid w:val="00E66FEC"/>
    <w:rsid w:val="00E67424"/>
    <w:rsid w:val="00E674EC"/>
    <w:rsid w:val="00E6783C"/>
    <w:rsid w:val="00E67C38"/>
    <w:rsid w:val="00E67EC9"/>
    <w:rsid w:val="00E67FCF"/>
    <w:rsid w:val="00E702CF"/>
    <w:rsid w:val="00E711E0"/>
    <w:rsid w:val="00E72C01"/>
    <w:rsid w:val="00E742EC"/>
    <w:rsid w:val="00E74FE4"/>
    <w:rsid w:val="00E75FAD"/>
    <w:rsid w:val="00E766A6"/>
    <w:rsid w:val="00E77768"/>
    <w:rsid w:val="00E800E4"/>
    <w:rsid w:val="00E81F34"/>
    <w:rsid w:val="00E831B2"/>
    <w:rsid w:val="00E8332C"/>
    <w:rsid w:val="00E83C08"/>
    <w:rsid w:val="00E83D3E"/>
    <w:rsid w:val="00E84183"/>
    <w:rsid w:val="00E84584"/>
    <w:rsid w:val="00E84BB7"/>
    <w:rsid w:val="00E84C6E"/>
    <w:rsid w:val="00E84DAB"/>
    <w:rsid w:val="00E85CCE"/>
    <w:rsid w:val="00E865A4"/>
    <w:rsid w:val="00E866B7"/>
    <w:rsid w:val="00E87355"/>
    <w:rsid w:val="00E87AED"/>
    <w:rsid w:val="00E903CD"/>
    <w:rsid w:val="00E904D3"/>
    <w:rsid w:val="00E9091D"/>
    <w:rsid w:val="00E91559"/>
    <w:rsid w:val="00E916B9"/>
    <w:rsid w:val="00E9479E"/>
    <w:rsid w:val="00E94A8E"/>
    <w:rsid w:val="00E955D6"/>
    <w:rsid w:val="00E96B88"/>
    <w:rsid w:val="00EA0EA3"/>
    <w:rsid w:val="00EA0F5F"/>
    <w:rsid w:val="00EA1012"/>
    <w:rsid w:val="00EA11B8"/>
    <w:rsid w:val="00EA1D65"/>
    <w:rsid w:val="00EA2684"/>
    <w:rsid w:val="00EA3920"/>
    <w:rsid w:val="00EA3C23"/>
    <w:rsid w:val="00EA4256"/>
    <w:rsid w:val="00EA68D1"/>
    <w:rsid w:val="00EA6F66"/>
    <w:rsid w:val="00EA718C"/>
    <w:rsid w:val="00EA7812"/>
    <w:rsid w:val="00EA79C2"/>
    <w:rsid w:val="00EA7E90"/>
    <w:rsid w:val="00EB0443"/>
    <w:rsid w:val="00EB093A"/>
    <w:rsid w:val="00EB13F6"/>
    <w:rsid w:val="00EB2113"/>
    <w:rsid w:val="00EB2E51"/>
    <w:rsid w:val="00EB32CB"/>
    <w:rsid w:val="00EB3621"/>
    <w:rsid w:val="00EB3DFC"/>
    <w:rsid w:val="00EB420E"/>
    <w:rsid w:val="00EB4464"/>
    <w:rsid w:val="00EB49A3"/>
    <w:rsid w:val="00EB4FC6"/>
    <w:rsid w:val="00EB57DC"/>
    <w:rsid w:val="00EB6477"/>
    <w:rsid w:val="00EB6C81"/>
    <w:rsid w:val="00EB75CE"/>
    <w:rsid w:val="00EC0AC0"/>
    <w:rsid w:val="00EC0E13"/>
    <w:rsid w:val="00EC12E6"/>
    <w:rsid w:val="00EC16EE"/>
    <w:rsid w:val="00EC276F"/>
    <w:rsid w:val="00EC2B9C"/>
    <w:rsid w:val="00EC2BF1"/>
    <w:rsid w:val="00EC2E30"/>
    <w:rsid w:val="00EC31A4"/>
    <w:rsid w:val="00EC3213"/>
    <w:rsid w:val="00EC414E"/>
    <w:rsid w:val="00EC4CB0"/>
    <w:rsid w:val="00EC5995"/>
    <w:rsid w:val="00EC7132"/>
    <w:rsid w:val="00EC7626"/>
    <w:rsid w:val="00EC78A0"/>
    <w:rsid w:val="00ED0566"/>
    <w:rsid w:val="00ED142A"/>
    <w:rsid w:val="00ED31E7"/>
    <w:rsid w:val="00ED3363"/>
    <w:rsid w:val="00ED360A"/>
    <w:rsid w:val="00ED3C67"/>
    <w:rsid w:val="00ED5101"/>
    <w:rsid w:val="00ED56EC"/>
    <w:rsid w:val="00ED56F7"/>
    <w:rsid w:val="00ED665A"/>
    <w:rsid w:val="00ED6977"/>
    <w:rsid w:val="00ED7551"/>
    <w:rsid w:val="00EE04E4"/>
    <w:rsid w:val="00EE0693"/>
    <w:rsid w:val="00EE07E9"/>
    <w:rsid w:val="00EE0FF3"/>
    <w:rsid w:val="00EE141C"/>
    <w:rsid w:val="00EE1C57"/>
    <w:rsid w:val="00EE2522"/>
    <w:rsid w:val="00EE26CA"/>
    <w:rsid w:val="00EE27E4"/>
    <w:rsid w:val="00EE3C43"/>
    <w:rsid w:val="00EE3FCC"/>
    <w:rsid w:val="00EE4680"/>
    <w:rsid w:val="00EE5663"/>
    <w:rsid w:val="00EE5D40"/>
    <w:rsid w:val="00EE60EA"/>
    <w:rsid w:val="00EE640D"/>
    <w:rsid w:val="00EE67A4"/>
    <w:rsid w:val="00EE6A07"/>
    <w:rsid w:val="00EE73E3"/>
    <w:rsid w:val="00EE763D"/>
    <w:rsid w:val="00EF03F5"/>
    <w:rsid w:val="00EF0493"/>
    <w:rsid w:val="00EF06F2"/>
    <w:rsid w:val="00EF0E5F"/>
    <w:rsid w:val="00EF1E58"/>
    <w:rsid w:val="00EF1F82"/>
    <w:rsid w:val="00EF2612"/>
    <w:rsid w:val="00EF2677"/>
    <w:rsid w:val="00EF3AE3"/>
    <w:rsid w:val="00EF3DCD"/>
    <w:rsid w:val="00EF3E2C"/>
    <w:rsid w:val="00EF4F2C"/>
    <w:rsid w:val="00EF6102"/>
    <w:rsid w:val="00EF678F"/>
    <w:rsid w:val="00EF709B"/>
    <w:rsid w:val="00EF759B"/>
    <w:rsid w:val="00EF7895"/>
    <w:rsid w:val="00EF7C5F"/>
    <w:rsid w:val="00EF7EBE"/>
    <w:rsid w:val="00F00621"/>
    <w:rsid w:val="00F00946"/>
    <w:rsid w:val="00F00E00"/>
    <w:rsid w:val="00F01320"/>
    <w:rsid w:val="00F01479"/>
    <w:rsid w:val="00F01607"/>
    <w:rsid w:val="00F0238C"/>
    <w:rsid w:val="00F02ADD"/>
    <w:rsid w:val="00F03C2F"/>
    <w:rsid w:val="00F044E1"/>
    <w:rsid w:val="00F04C08"/>
    <w:rsid w:val="00F062E7"/>
    <w:rsid w:val="00F066FD"/>
    <w:rsid w:val="00F0683B"/>
    <w:rsid w:val="00F071AF"/>
    <w:rsid w:val="00F10C59"/>
    <w:rsid w:val="00F112E6"/>
    <w:rsid w:val="00F118F3"/>
    <w:rsid w:val="00F1249C"/>
    <w:rsid w:val="00F129E8"/>
    <w:rsid w:val="00F133AE"/>
    <w:rsid w:val="00F134D9"/>
    <w:rsid w:val="00F138CA"/>
    <w:rsid w:val="00F13C48"/>
    <w:rsid w:val="00F13CB8"/>
    <w:rsid w:val="00F13E1C"/>
    <w:rsid w:val="00F15833"/>
    <w:rsid w:val="00F16B18"/>
    <w:rsid w:val="00F16EDD"/>
    <w:rsid w:val="00F17EB5"/>
    <w:rsid w:val="00F20542"/>
    <w:rsid w:val="00F20A10"/>
    <w:rsid w:val="00F2197C"/>
    <w:rsid w:val="00F230B0"/>
    <w:rsid w:val="00F232EF"/>
    <w:rsid w:val="00F23377"/>
    <w:rsid w:val="00F233F0"/>
    <w:rsid w:val="00F24146"/>
    <w:rsid w:val="00F242AA"/>
    <w:rsid w:val="00F24695"/>
    <w:rsid w:val="00F249BC"/>
    <w:rsid w:val="00F253F3"/>
    <w:rsid w:val="00F25455"/>
    <w:rsid w:val="00F25A9E"/>
    <w:rsid w:val="00F25BCE"/>
    <w:rsid w:val="00F25CB2"/>
    <w:rsid w:val="00F266EA"/>
    <w:rsid w:val="00F26ADE"/>
    <w:rsid w:val="00F272DA"/>
    <w:rsid w:val="00F2749F"/>
    <w:rsid w:val="00F30089"/>
    <w:rsid w:val="00F3032A"/>
    <w:rsid w:val="00F31556"/>
    <w:rsid w:val="00F31CB2"/>
    <w:rsid w:val="00F32008"/>
    <w:rsid w:val="00F325AE"/>
    <w:rsid w:val="00F32640"/>
    <w:rsid w:val="00F32962"/>
    <w:rsid w:val="00F329D5"/>
    <w:rsid w:val="00F32BD0"/>
    <w:rsid w:val="00F32E06"/>
    <w:rsid w:val="00F331D7"/>
    <w:rsid w:val="00F3327F"/>
    <w:rsid w:val="00F33459"/>
    <w:rsid w:val="00F339A3"/>
    <w:rsid w:val="00F341A0"/>
    <w:rsid w:val="00F34892"/>
    <w:rsid w:val="00F352CA"/>
    <w:rsid w:val="00F355E7"/>
    <w:rsid w:val="00F35974"/>
    <w:rsid w:val="00F35C63"/>
    <w:rsid w:val="00F3689C"/>
    <w:rsid w:val="00F3772F"/>
    <w:rsid w:val="00F37B1D"/>
    <w:rsid w:val="00F40081"/>
    <w:rsid w:val="00F402A5"/>
    <w:rsid w:val="00F4039C"/>
    <w:rsid w:val="00F40484"/>
    <w:rsid w:val="00F40979"/>
    <w:rsid w:val="00F41B16"/>
    <w:rsid w:val="00F42E8A"/>
    <w:rsid w:val="00F43282"/>
    <w:rsid w:val="00F43640"/>
    <w:rsid w:val="00F43DA8"/>
    <w:rsid w:val="00F43F4E"/>
    <w:rsid w:val="00F43F6B"/>
    <w:rsid w:val="00F458C9"/>
    <w:rsid w:val="00F45FEE"/>
    <w:rsid w:val="00F467DA"/>
    <w:rsid w:val="00F47CAC"/>
    <w:rsid w:val="00F47F66"/>
    <w:rsid w:val="00F502E1"/>
    <w:rsid w:val="00F512B3"/>
    <w:rsid w:val="00F5465B"/>
    <w:rsid w:val="00F5478B"/>
    <w:rsid w:val="00F55822"/>
    <w:rsid w:val="00F55EDA"/>
    <w:rsid w:val="00F56470"/>
    <w:rsid w:val="00F56502"/>
    <w:rsid w:val="00F56CB6"/>
    <w:rsid w:val="00F570E6"/>
    <w:rsid w:val="00F5713A"/>
    <w:rsid w:val="00F5740B"/>
    <w:rsid w:val="00F57729"/>
    <w:rsid w:val="00F6070E"/>
    <w:rsid w:val="00F60F33"/>
    <w:rsid w:val="00F62016"/>
    <w:rsid w:val="00F621BD"/>
    <w:rsid w:val="00F62337"/>
    <w:rsid w:val="00F6306C"/>
    <w:rsid w:val="00F6349E"/>
    <w:rsid w:val="00F639EE"/>
    <w:rsid w:val="00F63D2B"/>
    <w:rsid w:val="00F63E9E"/>
    <w:rsid w:val="00F64CA9"/>
    <w:rsid w:val="00F659B3"/>
    <w:rsid w:val="00F662DB"/>
    <w:rsid w:val="00F6675B"/>
    <w:rsid w:val="00F668AF"/>
    <w:rsid w:val="00F66914"/>
    <w:rsid w:val="00F66B86"/>
    <w:rsid w:val="00F66C75"/>
    <w:rsid w:val="00F66E3D"/>
    <w:rsid w:val="00F66EDC"/>
    <w:rsid w:val="00F67028"/>
    <w:rsid w:val="00F671F5"/>
    <w:rsid w:val="00F67F60"/>
    <w:rsid w:val="00F71516"/>
    <w:rsid w:val="00F7240E"/>
    <w:rsid w:val="00F73415"/>
    <w:rsid w:val="00F738C2"/>
    <w:rsid w:val="00F73A93"/>
    <w:rsid w:val="00F73FFB"/>
    <w:rsid w:val="00F74714"/>
    <w:rsid w:val="00F751CA"/>
    <w:rsid w:val="00F757E1"/>
    <w:rsid w:val="00F7623B"/>
    <w:rsid w:val="00F76508"/>
    <w:rsid w:val="00F76716"/>
    <w:rsid w:val="00F767BD"/>
    <w:rsid w:val="00F7698C"/>
    <w:rsid w:val="00F7785B"/>
    <w:rsid w:val="00F77AC1"/>
    <w:rsid w:val="00F77B3C"/>
    <w:rsid w:val="00F77E3F"/>
    <w:rsid w:val="00F806EE"/>
    <w:rsid w:val="00F815EC"/>
    <w:rsid w:val="00F82316"/>
    <w:rsid w:val="00F82D43"/>
    <w:rsid w:val="00F82F2C"/>
    <w:rsid w:val="00F842EE"/>
    <w:rsid w:val="00F844B8"/>
    <w:rsid w:val="00F8491F"/>
    <w:rsid w:val="00F84C7E"/>
    <w:rsid w:val="00F84D89"/>
    <w:rsid w:val="00F86358"/>
    <w:rsid w:val="00F863D2"/>
    <w:rsid w:val="00F86A44"/>
    <w:rsid w:val="00F86C2A"/>
    <w:rsid w:val="00F86FA9"/>
    <w:rsid w:val="00F87217"/>
    <w:rsid w:val="00F872B4"/>
    <w:rsid w:val="00F875F9"/>
    <w:rsid w:val="00F904D0"/>
    <w:rsid w:val="00F906D4"/>
    <w:rsid w:val="00F91710"/>
    <w:rsid w:val="00F93082"/>
    <w:rsid w:val="00F936CB"/>
    <w:rsid w:val="00F93727"/>
    <w:rsid w:val="00F93E0E"/>
    <w:rsid w:val="00F93F46"/>
    <w:rsid w:val="00F94114"/>
    <w:rsid w:val="00F94453"/>
    <w:rsid w:val="00F94842"/>
    <w:rsid w:val="00F94D5E"/>
    <w:rsid w:val="00F95B55"/>
    <w:rsid w:val="00F95B76"/>
    <w:rsid w:val="00F9671E"/>
    <w:rsid w:val="00FA1B74"/>
    <w:rsid w:val="00FA3AB1"/>
    <w:rsid w:val="00FA3E2E"/>
    <w:rsid w:val="00FA42DD"/>
    <w:rsid w:val="00FA447E"/>
    <w:rsid w:val="00FA46CF"/>
    <w:rsid w:val="00FA4C5B"/>
    <w:rsid w:val="00FA55D9"/>
    <w:rsid w:val="00FA572C"/>
    <w:rsid w:val="00FA5D56"/>
    <w:rsid w:val="00FA5E06"/>
    <w:rsid w:val="00FA6574"/>
    <w:rsid w:val="00FA66D4"/>
    <w:rsid w:val="00FA78FF"/>
    <w:rsid w:val="00FB1524"/>
    <w:rsid w:val="00FB2945"/>
    <w:rsid w:val="00FB3CC4"/>
    <w:rsid w:val="00FB3FE6"/>
    <w:rsid w:val="00FB5602"/>
    <w:rsid w:val="00FB6350"/>
    <w:rsid w:val="00FB6796"/>
    <w:rsid w:val="00FB6D48"/>
    <w:rsid w:val="00FB7C5E"/>
    <w:rsid w:val="00FB7D5F"/>
    <w:rsid w:val="00FC017D"/>
    <w:rsid w:val="00FC0F3F"/>
    <w:rsid w:val="00FC1216"/>
    <w:rsid w:val="00FC13B4"/>
    <w:rsid w:val="00FC267E"/>
    <w:rsid w:val="00FC362C"/>
    <w:rsid w:val="00FC3A1F"/>
    <w:rsid w:val="00FC4023"/>
    <w:rsid w:val="00FC43C7"/>
    <w:rsid w:val="00FC553B"/>
    <w:rsid w:val="00FC573C"/>
    <w:rsid w:val="00FC69EC"/>
    <w:rsid w:val="00FC70A6"/>
    <w:rsid w:val="00FC7330"/>
    <w:rsid w:val="00FC76A1"/>
    <w:rsid w:val="00FC7849"/>
    <w:rsid w:val="00FC7BC6"/>
    <w:rsid w:val="00FD0D2F"/>
    <w:rsid w:val="00FD119A"/>
    <w:rsid w:val="00FD157C"/>
    <w:rsid w:val="00FD18B4"/>
    <w:rsid w:val="00FD2DCB"/>
    <w:rsid w:val="00FD31AB"/>
    <w:rsid w:val="00FD41CA"/>
    <w:rsid w:val="00FD4544"/>
    <w:rsid w:val="00FD4FA1"/>
    <w:rsid w:val="00FD5767"/>
    <w:rsid w:val="00FD6D3C"/>
    <w:rsid w:val="00FD7295"/>
    <w:rsid w:val="00FD7885"/>
    <w:rsid w:val="00FD7A91"/>
    <w:rsid w:val="00FE06D3"/>
    <w:rsid w:val="00FE1083"/>
    <w:rsid w:val="00FE1E49"/>
    <w:rsid w:val="00FE33C9"/>
    <w:rsid w:val="00FE346A"/>
    <w:rsid w:val="00FE3BFB"/>
    <w:rsid w:val="00FE4F91"/>
    <w:rsid w:val="00FE5007"/>
    <w:rsid w:val="00FE5023"/>
    <w:rsid w:val="00FE5057"/>
    <w:rsid w:val="00FE56D9"/>
    <w:rsid w:val="00FE638E"/>
    <w:rsid w:val="00FE6BF1"/>
    <w:rsid w:val="00FE7399"/>
    <w:rsid w:val="00FE7563"/>
    <w:rsid w:val="00FF162B"/>
    <w:rsid w:val="00FF18D8"/>
    <w:rsid w:val="00FF1940"/>
    <w:rsid w:val="00FF1A84"/>
    <w:rsid w:val="00FF21F2"/>
    <w:rsid w:val="00FF275B"/>
    <w:rsid w:val="00FF2959"/>
    <w:rsid w:val="00FF2B97"/>
    <w:rsid w:val="00FF2BD1"/>
    <w:rsid w:val="00FF2E8B"/>
    <w:rsid w:val="00FF31BF"/>
    <w:rsid w:val="00FF4638"/>
    <w:rsid w:val="00FF4E54"/>
    <w:rsid w:val="00FF4F5A"/>
    <w:rsid w:val="00FF6552"/>
    <w:rsid w:val="00FF66D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7F10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footnote text" w:qFormat="1"/>
    <w:lsdException w:name="caption" w:uiPriority="35" w:qFormat="1"/>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797"/>
    <w:pPr>
      <w:spacing w:line="276" w:lineRule="auto"/>
      <w:jc w:val="both"/>
    </w:pPr>
    <w:rPr>
      <w:rFonts w:ascii="Times New Roman" w:hAnsi="Times New Roman"/>
      <w:sz w:val="24"/>
      <w:szCs w:val="22"/>
      <w:lang w:val="en-GB"/>
    </w:rPr>
  </w:style>
  <w:style w:type="paragraph" w:styleId="Heading1">
    <w:name w:val="heading 1"/>
    <w:basedOn w:val="Normal"/>
    <w:next w:val="Normal"/>
    <w:link w:val="Heading1Char"/>
    <w:qFormat/>
    <w:rsid w:val="00802797"/>
    <w:pPr>
      <w:keepNext/>
      <w:numPr>
        <w:numId w:val="5"/>
      </w:numPr>
      <w:pBdr>
        <w:bottom w:val="single" w:sz="4" w:space="1" w:color="auto"/>
      </w:pBdr>
      <w:spacing w:line="240" w:lineRule="auto"/>
      <w:outlineLvl w:val="0"/>
    </w:pPr>
    <w:rPr>
      <w:rFonts w:cs="Arial"/>
      <w:b/>
      <w:bCs/>
      <w:caps/>
      <w:kern w:val="32"/>
      <w:szCs w:val="24"/>
      <w:lang w:val="nl-BE" w:eastAsia="nl-BE"/>
    </w:rPr>
  </w:style>
  <w:style w:type="paragraph" w:styleId="Heading2">
    <w:name w:val="heading 2"/>
    <w:basedOn w:val="Normal"/>
    <w:next w:val="Normal"/>
    <w:link w:val="Heading2Char"/>
    <w:qFormat/>
    <w:rsid w:val="00802797"/>
    <w:pPr>
      <w:keepNext/>
      <w:numPr>
        <w:ilvl w:val="1"/>
        <w:numId w:val="5"/>
      </w:numPr>
      <w:spacing w:line="240" w:lineRule="auto"/>
      <w:outlineLvl w:val="1"/>
    </w:pPr>
    <w:rPr>
      <w:b/>
      <w:bCs/>
      <w:iCs/>
      <w:smallCaps/>
      <w:szCs w:val="24"/>
    </w:rPr>
  </w:style>
  <w:style w:type="paragraph" w:styleId="Heading3">
    <w:name w:val="heading 3"/>
    <w:basedOn w:val="Normal"/>
    <w:next w:val="Normal"/>
    <w:link w:val="Heading3Char"/>
    <w:qFormat/>
    <w:rsid w:val="00802797"/>
    <w:pPr>
      <w:keepNext/>
      <w:numPr>
        <w:ilvl w:val="2"/>
        <w:numId w:val="6"/>
      </w:numPr>
      <w:tabs>
        <w:tab w:val="left" w:pos="1134"/>
      </w:tabs>
      <w:spacing w:line="240" w:lineRule="auto"/>
      <w:outlineLvl w:val="2"/>
    </w:pPr>
    <w:rPr>
      <w:rFonts w:cs="Arial"/>
      <w:b/>
      <w:bCs/>
      <w:szCs w:val="24"/>
      <w:lang w:val="nl-BE" w:eastAsia="nl-BE"/>
    </w:rPr>
  </w:style>
  <w:style w:type="paragraph" w:styleId="Heading4">
    <w:name w:val="heading 4"/>
    <w:basedOn w:val="Normal"/>
    <w:next w:val="Normal"/>
    <w:link w:val="Heading4Char"/>
    <w:uiPriority w:val="9"/>
    <w:qFormat/>
    <w:rsid w:val="00802797"/>
    <w:pPr>
      <w:keepNext/>
      <w:numPr>
        <w:ilvl w:val="3"/>
        <w:numId w:val="7"/>
      </w:numPr>
      <w:spacing w:before="240" w:after="60"/>
      <w:outlineLvl w:val="3"/>
    </w:pPr>
    <w:rPr>
      <w:b/>
      <w:bCs/>
      <w:i/>
      <w:szCs w:val="24"/>
    </w:rPr>
  </w:style>
  <w:style w:type="paragraph" w:styleId="Heading5">
    <w:name w:val="heading 5"/>
    <w:basedOn w:val="Normal"/>
    <w:next w:val="Normal"/>
    <w:link w:val="Heading5Char"/>
    <w:uiPriority w:val="9"/>
    <w:qFormat/>
    <w:rsid w:val="00802797"/>
    <w:pPr>
      <w:numPr>
        <w:numId w:val="9"/>
      </w:numPr>
      <w:spacing w:line="240" w:lineRule="auto"/>
      <w:outlineLvl w:val="4"/>
    </w:pPr>
    <w:rPr>
      <w:rFonts w:eastAsia="Times New Roman"/>
      <w:b/>
      <w:bCs/>
      <w:i/>
      <w:iCs/>
      <w:szCs w:val="24"/>
      <w:lang w:val="en-US"/>
    </w:rPr>
  </w:style>
  <w:style w:type="paragraph" w:styleId="Heading6">
    <w:name w:val="heading 6"/>
    <w:basedOn w:val="Normal"/>
    <w:next w:val="Normal"/>
    <w:link w:val="Heading6Char"/>
    <w:uiPriority w:val="9"/>
    <w:semiHidden/>
    <w:unhideWhenUsed/>
    <w:qFormat/>
    <w:rsid w:val="00802797"/>
    <w:pPr>
      <w:keepNext/>
      <w:keepLines/>
      <w:spacing w:before="200"/>
      <w:outlineLvl w:val="5"/>
    </w:pPr>
    <w:rPr>
      <w:rFonts w:ascii="Cambria" w:eastAsia="Times New Roman" w:hAnsi="Cambria"/>
      <w:i/>
      <w:iCs/>
      <w:color w:val="243F60"/>
    </w:rPr>
  </w:style>
  <w:style w:type="paragraph" w:styleId="Heading7">
    <w:name w:val="heading 7"/>
    <w:basedOn w:val="Normal"/>
    <w:next w:val="Normal"/>
    <w:link w:val="Heading7Char"/>
    <w:uiPriority w:val="9"/>
    <w:semiHidden/>
    <w:unhideWhenUsed/>
    <w:qFormat/>
    <w:rsid w:val="00802797"/>
    <w:pPr>
      <w:keepNext/>
      <w:keepLines/>
      <w:spacing w:before="200"/>
      <w:outlineLvl w:val="6"/>
    </w:pPr>
    <w:rPr>
      <w:rFonts w:ascii="Cambria" w:eastAsia="Times New Roman" w:hAnsi="Cambria"/>
      <w:i/>
      <w:iCs/>
      <w:color w:val="4040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Heading3TimesNewRoman12pt">
    <w:name w:val="Style Heading 3 + Times New Roman 12 pt"/>
    <w:basedOn w:val="Heading3"/>
    <w:autoRedefine/>
    <w:rsid w:val="00802797"/>
    <w:pPr>
      <w:numPr>
        <w:ilvl w:val="0"/>
        <w:numId w:val="1"/>
      </w:numPr>
    </w:pPr>
    <w:rPr>
      <w:b w:val="0"/>
      <w:smallCaps/>
      <w:u w:val="words"/>
      <w:lang w:val="nl-NL"/>
    </w:rPr>
  </w:style>
  <w:style w:type="paragraph" w:styleId="Header">
    <w:name w:val="header"/>
    <w:basedOn w:val="Normal"/>
    <w:link w:val="HeaderChar"/>
    <w:uiPriority w:val="99"/>
    <w:rsid w:val="00802797"/>
    <w:pPr>
      <w:tabs>
        <w:tab w:val="center" w:pos="4320"/>
        <w:tab w:val="right" w:pos="8640"/>
      </w:tabs>
    </w:pPr>
  </w:style>
  <w:style w:type="paragraph" w:styleId="Footer">
    <w:name w:val="footer"/>
    <w:basedOn w:val="Normal"/>
    <w:link w:val="FooterChar"/>
    <w:uiPriority w:val="99"/>
    <w:rsid w:val="00802797"/>
    <w:pPr>
      <w:tabs>
        <w:tab w:val="center" w:pos="4320"/>
        <w:tab w:val="right" w:pos="8640"/>
      </w:tabs>
    </w:pPr>
  </w:style>
  <w:style w:type="character" w:styleId="PageNumber">
    <w:name w:val="page number"/>
    <w:basedOn w:val="DefaultParagraphFont"/>
    <w:rsid w:val="00802797"/>
  </w:style>
  <w:style w:type="paragraph" w:customStyle="1" w:styleId="Style1">
    <w:name w:val="Style1"/>
    <w:basedOn w:val="Heading1"/>
    <w:autoRedefine/>
    <w:rsid w:val="00802797"/>
    <w:pPr>
      <w:numPr>
        <w:numId w:val="2"/>
      </w:numPr>
    </w:pPr>
    <w:rPr>
      <w:sz w:val="28"/>
      <w:szCs w:val="28"/>
    </w:rPr>
  </w:style>
  <w:style w:type="paragraph" w:customStyle="1" w:styleId="Style2">
    <w:name w:val="Style2"/>
    <w:basedOn w:val="Heading1"/>
    <w:rsid w:val="00802797"/>
    <w:pPr>
      <w:numPr>
        <w:numId w:val="3"/>
      </w:numPr>
    </w:pPr>
    <w:rPr>
      <w:sz w:val="28"/>
      <w:szCs w:val="28"/>
    </w:rPr>
  </w:style>
  <w:style w:type="character" w:styleId="Hyperlink">
    <w:name w:val="Hyperlink"/>
    <w:basedOn w:val="DefaultParagraphFont"/>
    <w:uiPriority w:val="99"/>
    <w:rsid w:val="00802797"/>
    <w:rPr>
      <w:color w:val="0000FF"/>
      <w:u w:val="single"/>
    </w:rPr>
  </w:style>
  <w:style w:type="paragraph" w:styleId="FootnoteText">
    <w:name w:val="footnote text"/>
    <w:basedOn w:val="Normal"/>
    <w:link w:val="FootnoteTextChar"/>
    <w:uiPriority w:val="99"/>
    <w:unhideWhenUsed/>
    <w:qFormat/>
    <w:rsid w:val="00802797"/>
    <w:rPr>
      <w:sz w:val="20"/>
      <w:lang w:bidi="en-US"/>
    </w:rPr>
  </w:style>
  <w:style w:type="character" w:styleId="FootnoteReference">
    <w:name w:val="footnote reference"/>
    <w:basedOn w:val="DefaultParagraphFont"/>
    <w:uiPriority w:val="99"/>
    <w:rsid w:val="00802797"/>
    <w:rPr>
      <w:rFonts w:ascii="Times New Roman" w:hAnsi="Times New Roman"/>
      <w:sz w:val="20"/>
      <w:szCs w:val="20"/>
      <w:vertAlign w:val="superscript"/>
    </w:rPr>
  </w:style>
  <w:style w:type="paragraph" w:styleId="TOC1">
    <w:name w:val="toc 1"/>
    <w:basedOn w:val="Normal"/>
    <w:next w:val="Normal"/>
    <w:autoRedefine/>
    <w:uiPriority w:val="39"/>
    <w:unhideWhenUsed/>
    <w:qFormat/>
    <w:rsid w:val="00026334"/>
    <w:pPr>
      <w:tabs>
        <w:tab w:val="left" w:pos="709"/>
        <w:tab w:val="right" w:leader="dot" w:pos="9090"/>
      </w:tabs>
      <w:spacing w:before="240" w:after="240" w:line="240" w:lineRule="auto"/>
    </w:pPr>
    <w:rPr>
      <w:b/>
      <w:smallCaps/>
      <w:noProof/>
    </w:rPr>
  </w:style>
  <w:style w:type="paragraph" w:styleId="TOC2">
    <w:name w:val="toc 2"/>
    <w:basedOn w:val="Normal"/>
    <w:next w:val="Normal"/>
    <w:autoRedefine/>
    <w:uiPriority w:val="39"/>
    <w:unhideWhenUsed/>
    <w:qFormat/>
    <w:rsid w:val="00802797"/>
    <w:pPr>
      <w:tabs>
        <w:tab w:val="left" w:pos="1170"/>
        <w:tab w:val="right" w:leader="dot" w:pos="9090"/>
      </w:tabs>
      <w:ind w:left="1170" w:hanging="450"/>
    </w:pPr>
    <w:rPr>
      <w:noProof/>
      <w:lang w:val="nl-BE"/>
    </w:rPr>
  </w:style>
  <w:style w:type="paragraph" w:styleId="TOC3">
    <w:name w:val="toc 3"/>
    <w:basedOn w:val="Normal"/>
    <w:next w:val="Normal"/>
    <w:autoRedefine/>
    <w:uiPriority w:val="39"/>
    <w:unhideWhenUsed/>
    <w:qFormat/>
    <w:rsid w:val="00802797"/>
    <w:pPr>
      <w:tabs>
        <w:tab w:val="left" w:pos="1710"/>
        <w:tab w:val="right" w:leader="dot" w:pos="9090"/>
      </w:tabs>
      <w:ind w:left="1710" w:right="-18" w:hanging="540"/>
    </w:pPr>
    <w:rPr>
      <w:i/>
      <w:noProof/>
      <w:lang w:val="nl-NL"/>
    </w:rPr>
  </w:style>
  <w:style w:type="paragraph" w:styleId="TOC4">
    <w:name w:val="toc 4"/>
    <w:basedOn w:val="Normal"/>
    <w:next w:val="Normal"/>
    <w:autoRedefine/>
    <w:semiHidden/>
    <w:rsid w:val="00802797"/>
    <w:pPr>
      <w:ind w:left="720"/>
    </w:pPr>
    <w:rPr>
      <w:sz w:val="18"/>
      <w:szCs w:val="18"/>
    </w:rPr>
  </w:style>
  <w:style w:type="paragraph" w:styleId="TOC5">
    <w:name w:val="toc 5"/>
    <w:basedOn w:val="Normal"/>
    <w:next w:val="Normal"/>
    <w:autoRedefine/>
    <w:semiHidden/>
    <w:rsid w:val="00802797"/>
    <w:pPr>
      <w:ind w:left="960"/>
    </w:pPr>
    <w:rPr>
      <w:sz w:val="18"/>
      <w:szCs w:val="18"/>
    </w:rPr>
  </w:style>
  <w:style w:type="paragraph" w:styleId="TOC6">
    <w:name w:val="toc 6"/>
    <w:basedOn w:val="Normal"/>
    <w:next w:val="Normal"/>
    <w:autoRedefine/>
    <w:semiHidden/>
    <w:rsid w:val="00802797"/>
    <w:pPr>
      <w:ind w:left="1200"/>
    </w:pPr>
    <w:rPr>
      <w:sz w:val="18"/>
      <w:szCs w:val="18"/>
    </w:rPr>
  </w:style>
  <w:style w:type="paragraph" w:styleId="TOC7">
    <w:name w:val="toc 7"/>
    <w:basedOn w:val="Normal"/>
    <w:next w:val="Normal"/>
    <w:autoRedefine/>
    <w:semiHidden/>
    <w:rsid w:val="00802797"/>
    <w:pPr>
      <w:ind w:left="1440"/>
    </w:pPr>
    <w:rPr>
      <w:sz w:val="18"/>
      <w:szCs w:val="18"/>
    </w:rPr>
  </w:style>
  <w:style w:type="paragraph" w:styleId="TOC8">
    <w:name w:val="toc 8"/>
    <w:basedOn w:val="Normal"/>
    <w:next w:val="Normal"/>
    <w:autoRedefine/>
    <w:semiHidden/>
    <w:rsid w:val="00802797"/>
    <w:pPr>
      <w:ind w:left="1680"/>
    </w:pPr>
    <w:rPr>
      <w:sz w:val="18"/>
      <w:szCs w:val="18"/>
    </w:rPr>
  </w:style>
  <w:style w:type="paragraph" w:styleId="TOC9">
    <w:name w:val="toc 9"/>
    <w:basedOn w:val="Normal"/>
    <w:next w:val="Normal"/>
    <w:autoRedefine/>
    <w:semiHidden/>
    <w:rsid w:val="00802797"/>
    <w:pPr>
      <w:ind w:left="1920"/>
    </w:pPr>
    <w:rPr>
      <w:sz w:val="18"/>
      <w:szCs w:val="18"/>
    </w:rPr>
  </w:style>
  <w:style w:type="table" w:styleId="TableGrid">
    <w:name w:val="Table Grid"/>
    <w:basedOn w:val="TableNormal"/>
    <w:rsid w:val="008027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rsid w:val="00802797"/>
    <w:rPr>
      <w:color w:val="800080"/>
      <w:u w:val="single"/>
    </w:rPr>
  </w:style>
  <w:style w:type="paragraph" w:styleId="EndnoteText">
    <w:name w:val="endnote text"/>
    <w:basedOn w:val="Normal"/>
    <w:semiHidden/>
    <w:rsid w:val="00802797"/>
    <w:rPr>
      <w:sz w:val="20"/>
      <w:szCs w:val="20"/>
    </w:rPr>
  </w:style>
  <w:style w:type="character" w:styleId="EndnoteReference">
    <w:name w:val="endnote reference"/>
    <w:basedOn w:val="DefaultParagraphFont"/>
    <w:semiHidden/>
    <w:rsid w:val="00802797"/>
    <w:rPr>
      <w:vertAlign w:val="superscript"/>
    </w:rPr>
  </w:style>
  <w:style w:type="paragraph" w:styleId="BalloonText">
    <w:name w:val="Balloon Text"/>
    <w:basedOn w:val="Normal"/>
    <w:link w:val="BalloonTextChar"/>
    <w:uiPriority w:val="99"/>
    <w:semiHidden/>
    <w:unhideWhenUsed/>
    <w:rsid w:val="00802797"/>
    <w:rPr>
      <w:rFonts w:ascii="Tahoma" w:hAnsi="Tahoma" w:cs="Tahoma"/>
      <w:sz w:val="16"/>
      <w:szCs w:val="16"/>
    </w:rPr>
  </w:style>
  <w:style w:type="character" w:customStyle="1" w:styleId="BalloonTextChar">
    <w:name w:val="Balloon Text Char"/>
    <w:basedOn w:val="DefaultParagraphFont"/>
    <w:link w:val="BalloonText"/>
    <w:uiPriority w:val="99"/>
    <w:semiHidden/>
    <w:rsid w:val="00802797"/>
    <w:rPr>
      <w:rFonts w:ascii="Tahoma" w:hAnsi="Tahoma" w:cs="Tahoma"/>
      <w:sz w:val="16"/>
      <w:szCs w:val="16"/>
      <w:lang w:val="fr-BE" w:eastAsia="en-US"/>
    </w:rPr>
  </w:style>
  <w:style w:type="paragraph" w:styleId="ListParagraph">
    <w:name w:val="List Paragraph"/>
    <w:basedOn w:val="Normal"/>
    <w:uiPriority w:val="34"/>
    <w:qFormat/>
    <w:rsid w:val="00802797"/>
    <w:pPr>
      <w:spacing w:line="240" w:lineRule="auto"/>
      <w:ind w:left="720"/>
      <w:contextualSpacing/>
    </w:pPr>
    <w:rPr>
      <w:szCs w:val="24"/>
      <w:lang w:val="fr-FR" w:eastAsia="fr-FR"/>
    </w:rPr>
  </w:style>
  <w:style w:type="character" w:styleId="CommentReference">
    <w:name w:val="annotation reference"/>
    <w:basedOn w:val="DefaultParagraphFont"/>
    <w:uiPriority w:val="99"/>
    <w:semiHidden/>
    <w:unhideWhenUsed/>
    <w:rsid w:val="00802797"/>
    <w:rPr>
      <w:sz w:val="16"/>
      <w:szCs w:val="16"/>
    </w:rPr>
  </w:style>
  <w:style w:type="paragraph" w:styleId="CommentText">
    <w:name w:val="annotation text"/>
    <w:basedOn w:val="Normal"/>
    <w:link w:val="CommentTextChar"/>
    <w:uiPriority w:val="99"/>
    <w:unhideWhenUsed/>
    <w:rsid w:val="00802797"/>
    <w:rPr>
      <w:sz w:val="20"/>
      <w:szCs w:val="20"/>
    </w:rPr>
  </w:style>
  <w:style w:type="character" w:customStyle="1" w:styleId="CommentTextChar">
    <w:name w:val="Comment Text Char"/>
    <w:basedOn w:val="DefaultParagraphFont"/>
    <w:link w:val="CommentText"/>
    <w:uiPriority w:val="99"/>
    <w:rsid w:val="00802797"/>
    <w:rPr>
      <w:lang w:val="fr-BE" w:eastAsia="en-US"/>
    </w:rPr>
  </w:style>
  <w:style w:type="paragraph" w:styleId="CommentSubject">
    <w:name w:val="annotation subject"/>
    <w:basedOn w:val="CommentText"/>
    <w:next w:val="CommentText"/>
    <w:link w:val="CommentSubjectChar"/>
    <w:uiPriority w:val="99"/>
    <w:semiHidden/>
    <w:unhideWhenUsed/>
    <w:rsid w:val="00802797"/>
    <w:rPr>
      <w:b/>
      <w:bCs/>
    </w:rPr>
  </w:style>
  <w:style w:type="character" w:customStyle="1" w:styleId="CommentSubjectChar">
    <w:name w:val="Comment Subject Char"/>
    <w:basedOn w:val="CommentTextChar"/>
    <w:link w:val="CommentSubject"/>
    <w:uiPriority w:val="99"/>
    <w:semiHidden/>
    <w:rsid w:val="00802797"/>
    <w:rPr>
      <w:b/>
      <w:bCs/>
      <w:lang w:val="fr-BE" w:eastAsia="en-US"/>
    </w:rPr>
  </w:style>
  <w:style w:type="paragraph" w:styleId="PlainText">
    <w:name w:val="Plain Text"/>
    <w:basedOn w:val="Normal"/>
    <w:link w:val="PlainTextChar"/>
    <w:uiPriority w:val="99"/>
    <w:semiHidden/>
    <w:unhideWhenUsed/>
    <w:rsid w:val="00802797"/>
    <w:rPr>
      <w:szCs w:val="21"/>
      <w:lang w:val="nl-BE"/>
    </w:rPr>
  </w:style>
  <w:style w:type="character" w:customStyle="1" w:styleId="PlainTextChar">
    <w:name w:val="Plain Text Char"/>
    <w:basedOn w:val="DefaultParagraphFont"/>
    <w:link w:val="PlainText"/>
    <w:uiPriority w:val="99"/>
    <w:semiHidden/>
    <w:rsid w:val="00802797"/>
    <w:rPr>
      <w:rFonts w:eastAsia="Calibri" w:cs="Times New Roman"/>
      <w:sz w:val="24"/>
      <w:szCs w:val="21"/>
      <w:lang w:eastAsia="en-US"/>
    </w:rPr>
  </w:style>
  <w:style w:type="character" w:customStyle="1" w:styleId="FootnoteTextChar">
    <w:name w:val="Footnote Text Char"/>
    <w:basedOn w:val="DefaultParagraphFont"/>
    <w:link w:val="FootnoteText"/>
    <w:uiPriority w:val="99"/>
    <w:rsid w:val="00802797"/>
    <w:rPr>
      <w:rFonts w:ascii="Times New Roman" w:hAnsi="Times New Roman"/>
      <w:szCs w:val="22"/>
      <w:lang w:val="en-GB" w:eastAsia="en-US" w:bidi="en-US"/>
    </w:rPr>
  </w:style>
  <w:style w:type="paragraph" w:customStyle="1" w:styleId="numro">
    <w:name w:val="numéro"/>
    <w:basedOn w:val="Normal"/>
    <w:link w:val="numroChar"/>
    <w:qFormat/>
    <w:rsid w:val="00802797"/>
    <w:pPr>
      <w:numPr>
        <w:numId w:val="8"/>
      </w:numPr>
      <w:overflowPunct w:val="0"/>
      <w:autoSpaceDE w:val="0"/>
      <w:autoSpaceDN w:val="0"/>
      <w:adjustRightInd w:val="0"/>
      <w:spacing w:line="240" w:lineRule="auto"/>
      <w:textAlignment w:val="baseline"/>
    </w:pPr>
    <w:rPr>
      <w:rFonts w:ascii="CG Times" w:hAnsi="CG Times"/>
      <w:szCs w:val="20"/>
      <w:lang w:val="fr-FR" w:eastAsia="nl-BE"/>
    </w:rPr>
  </w:style>
  <w:style w:type="paragraph" w:styleId="TOCHeading">
    <w:name w:val="TOC Heading"/>
    <w:basedOn w:val="Heading1"/>
    <w:next w:val="Normal"/>
    <w:uiPriority w:val="39"/>
    <w:qFormat/>
    <w:rsid w:val="00802797"/>
    <w:pPr>
      <w:keepLines/>
      <w:numPr>
        <w:numId w:val="0"/>
      </w:numPr>
      <w:spacing w:before="480"/>
      <w:outlineLvl w:val="9"/>
    </w:pPr>
    <w:rPr>
      <w:rFonts w:ascii="Cambria" w:hAnsi="Cambria"/>
      <w:color w:val="365F91"/>
      <w:kern w:val="0"/>
      <w:sz w:val="28"/>
      <w:szCs w:val="28"/>
      <w:lang w:val="en-US" w:eastAsia="en-US"/>
    </w:rPr>
  </w:style>
  <w:style w:type="character" w:customStyle="1" w:styleId="Heading1Char">
    <w:name w:val="Heading 1 Char"/>
    <w:basedOn w:val="DefaultParagraphFont"/>
    <w:link w:val="Heading1"/>
    <w:rsid w:val="00802797"/>
    <w:rPr>
      <w:rFonts w:ascii="Times New Roman" w:hAnsi="Times New Roman" w:cs="Arial"/>
      <w:b/>
      <w:bCs/>
      <w:caps/>
      <w:kern w:val="32"/>
      <w:sz w:val="24"/>
      <w:szCs w:val="24"/>
      <w:lang w:val="nl-BE" w:eastAsia="nl-BE"/>
    </w:rPr>
  </w:style>
  <w:style w:type="character" w:customStyle="1" w:styleId="Heading2Char">
    <w:name w:val="Heading 2 Char"/>
    <w:basedOn w:val="DefaultParagraphFont"/>
    <w:link w:val="Heading2"/>
    <w:rsid w:val="00802797"/>
    <w:rPr>
      <w:rFonts w:ascii="Times New Roman" w:hAnsi="Times New Roman"/>
      <w:b/>
      <w:bCs/>
      <w:iCs/>
      <w:smallCaps/>
      <w:sz w:val="24"/>
      <w:szCs w:val="24"/>
      <w:lang w:val="en-GB"/>
    </w:rPr>
  </w:style>
  <w:style w:type="character" w:customStyle="1" w:styleId="Heading3Char">
    <w:name w:val="Heading 3 Char"/>
    <w:basedOn w:val="DefaultParagraphFont"/>
    <w:link w:val="Heading3"/>
    <w:rsid w:val="00802797"/>
    <w:rPr>
      <w:rFonts w:ascii="Times New Roman" w:hAnsi="Times New Roman" w:cs="Arial"/>
      <w:b/>
      <w:bCs/>
      <w:sz w:val="24"/>
      <w:szCs w:val="24"/>
      <w:lang w:val="nl-BE" w:eastAsia="nl-BE"/>
    </w:rPr>
  </w:style>
  <w:style w:type="character" w:customStyle="1" w:styleId="Heading4Char">
    <w:name w:val="Heading 4 Char"/>
    <w:basedOn w:val="DefaultParagraphFont"/>
    <w:link w:val="Heading4"/>
    <w:uiPriority w:val="9"/>
    <w:rsid w:val="00802797"/>
    <w:rPr>
      <w:rFonts w:ascii="Times New Roman" w:hAnsi="Times New Roman"/>
      <w:b/>
      <w:bCs/>
      <w:i/>
      <w:sz w:val="24"/>
      <w:szCs w:val="24"/>
      <w:lang w:val="en-GB"/>
    </w:rPr>
  </w:style>
  <w:style w:type="character" w:customStyle="1" w:styleId="Heading5Char">
    <w:name w:val="Heading 5 Char"/>
    <w:basedOn w:val="DefaultParagraphFont"/>
    <w:link w:val="Heading5"/>
    <w:uiPriority w:val="9"/>
    <w:rsid w:val="00802797"/>
    <w:rPr>
      <w:rFonts w:ascii="Times New Roman" w:eastAsia="Times New Roman" w:hAnsi="Times New Roman"/>
      <w:b/>
      <w:bCs/>
      <w:i/>
      <w:iCs/>
      <w:sz w:val="24"/>
      <w:szCs w:val="24"/>
    </w:rPr>
  </w:style>
  <w:style w:type="character" w:customStyle="1" w:styleId="Heading6Char">
    <w:name w:val="Heading 6 Char"/>
    <w:basedOn w:val="DefaultParagraphFont"/>
    <w:link w:val="Heading6"/>
    <w:uiPriority w:val="9"/>
    <w:semiHidden/>
    <w:rsid w:val="00802797"/>
    <w:rPr>
      <w:rFonts w:ascii="Cambria" w:eastAsia="Times New Roman" w:hAnsi="Cambria" w:cs="Times New Roman"/>
      <w:i/>
      <w:iCs/>
      <w:color w:val="243F60"/>
      <w:sz w:val="24"/>
      <w:szCs w:val="22"/>
      <w:lang w:val="en-GB" w:eastAsia="en-US"/>
    </w:rPr>
  </w:style>
  <w:style w:type="character" w:customStyle="1" w:styleId="Heading7Char">
    <w:name w:val="Heading 7 Char"/>
    <w:basedOn w:val="DefaultParagraphFont"/>
    <w:link w:val="Heading7"/>
    <w:uiPriority w:val="9"/>
    <w:semiHidden/>
    <w:rsid w:val="00802797"/>
    <w:rPr>
      <w:rFonts w:ascii="Cambria" w:eastAsia="Times New Roman" w:hAnsi="Cambria" w:cs="Times New Roman"/>
      <w:i/>
      <w:iCs/>
      <w:color w:val="404040"/>
      <w:sz w:val="24"/>
      <w:szCs w:val="22"/>
      <w:lang w:val="en-GB" w:eastAsia="en-US"/>
    </w:rPr>
  </w:style>
  <w:style w:type="paragraph" w:styleId="Caption">
    <w:name w:val="caption"/>
    <w:basedOn w:val="Normal"/>
    <w:next w:val="Normal"/>
    <w:uiPriority w:val="35"/>
    <w:qFormat/>
    <w:rsid w:val="00802797"/>
    <w:rPr>
      <w:b/>
      <w:bCs/>
      <w:sz w:val="20"/>
      <w:szCs w:val="20"/>
    </w:rPr>
  </w:style>
  <w:style w:type="paragraph" w:styleId="Title">
    <w:name w:val="Title"/>
    <w:basedOn w:val="Normal"/>
    <w:next w:val="Normal"/>
    <w:link w:val="TitleChar"/>
    <w:uiPriority w:val="10"/>
    <w:qFormat/>
    <w:rsid w:val="00802797"/>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802797"/>
    <w:rPr>
      <w:rFonts w:ascii="Cambria" w:hAnsi="Cambria"/>
      <w:b/>
      <w:bCs/>
      <w:kern w:val="28"/>
      <w:sz w:val="32"/>
      <w:szCs w:val="32"/>
      <w:lang w:val="en-GB" w:eastAsia="en-US"/>
    </w:rPr>
  </w:style>
  <w:style w:type="character" w:styleId="Strong">
    <w:name w:val="Strong"/>
    <w:basedOn w:val="DefaultParagraphFont"/>
    <w:uiPriority w:val="22"/>
    <w:qFormat/>
    <w:rsid w:val="00802797"/>
    <w:rPr>
      <w:b/>
      <w:bCs/>
    </w:rPr>
  </w:style>
  <w:style w:type="character" w:styleId="Emphasis">
    <w:name w:val="Emphasis"/>
    <w:basedOn w:val="DefaultParagraphFont"/>
    <w:uiPriority w:val="20"/>
    <w:qFormat/>
    <w:rsid w:val="00802797"/>
    <w:rPr>
      <w:i/>
      <w:iCs/>
    </w:rPr>
  </w:style>
  <w:style w:type="paragraph" w:styleId="NoSpacing">
    <w:name w:val="No Spacing"/>
    <w:uiPriority w:val="1"/>
    <w:qFormat/>
    <w:rsid w:val="00802797"/>
    <w:rPr>
      <w:sz w:val="22"/>
      <w:szCs w:val="22"/>
      <w:lang w:val="en-GB"/>
    </w:rPr>
  </w:style>
  <w:style w:type="character" w:styleId="IntenseEmphasis">
    <w:name w:val="Intense Emphasis"/>
    <w:basedOn w:val="DefaultParagraphFont"/>
    <w:uiPriority w:val="21"/>
    <w:qFormat/>
    <w:rsid w:val="00802797"/>
    <w:rPr>
      <w:b/>
      <w:bCs/>
      <w:i/>
      <w:iCs/>
      <w:color w:val="4F81BD"/>
    </w:rPr>
  </w:style>
  <w:style w:type="character" w:customStyle="1" w:styleId="numroChar">
    <w:name w:val="numéro Char"/>
    <w:basedOn w:val="DefaultParagraphFont"/>
    <w:link w:val="numro"/>
    <w:rsid w:val="00802797"/>
    <w:rPr>
      <w:rFonts w:ascii="CG Times" w:hAnsi="CG Times"/>
      <w:sz w:val="24"/>
      <w:lang w:val="fr-FR" w:eastAsia="nl-BE"/>
    </w:rPr>
  </w:style>
  <w:style w:type="character" w:customStyle="1" w:styleId="apple-converted-space">
    <w:name w:val="apple-converted-space"/>
    <w:basedOn w:val="DefaultParagraphFont"/>
    <w:rsid w:val="00802797"/>
  </w:style>
  <w:style w:type="paragraph" w:styleId="Revision">
    <w:name w:val="Revision"/>
    <w:hidden/>
    <w:uiPriority w:val="99"/>
    <w:semiHidden/>
    <w:rsid w:val="00802797"/>
    <w:rPr>
      <w:rFonts w:ascii="Times New Roman" w:hAnsi="Times New Roman"/>
      <w:sz w:val="24"/>
      <w:szCs w:val="22"/>
      <w:lang w:val="en-GB"/>
    </w:rPr>
  </w:style>
  <w:style w:type="paragraph" w:styleId="ListBullet">
    <w:name w:val="List Bullet"/>
    <w:basedOn w:val="Normal"/>
    <w:uiPriority w:val="99"/>
    <w:unhideWhenUsed/>
    <w:rsid w:val="00802797"/>
    <w:pPr>
      <w:numPr>
        <w:numId w:val="10"/>
      </w:numPr>
      <w:contextualSpacing/>
    </w:pPr>
  </w:style>
  <w:style w:type="paragraph" w:customStyle="1" w:styleId="Quotation">
    <w:name w:val="Quotation"/>
    <w:basedOn w:val="Normal"/>
    <w:link w:val="QuotationChar"/>
    <w:qFormat/>
    <w:rsid w:val="00B224DF"/>
    <w:pPr>
      <w:spacing w:line="240" w:lineRule="auto"/>
      <w:ind w:left="1440" w:right="674"/>
    </w:pPr>
    <w:rPr>
      <w:i/>
      <w:lang w:val="en-US"/>
    </w:rPr>
  </w:style>
  <w:style w:type="character" w:customStyle="1" w:styleId="QuotationChar">
    <w:name w:val="Quotation Char"/>
    <w:basedOn w:val="DefaultParagraphFont"/>
    <w:link w:val="Quotation"/>
    <w:rsid w:val="00B224DF"/>
    <w:rPr>
      <w:rFonts w:ascii="Times New Roman" w:hAnsi="Times New Roman"/>
      <w:i/>
      <w:sz w:val="24"/>
      <w:szCs w:val="22"/>
    </w:rPr>
  </w:style>
  <w:style w:type="paragraph" w:styleId="ListBullet3">
    <w:name w:val="List Bullet 3"/>
    <w:basedOn w:val="Normal"/>
    <w:uiPriority w:val="99"/>
    <w:unhideWhenUsed/>
    <w:rsid w:val="000171B0"/>
    <w:pPr>
      <w:numPr>
        <w:numId w:val="11"/>
      </w:numPr>
      <w:contextualSpacing/>
    </w:pPr>
  </w:style>
  <w:style w:type="numbering" w:customStyle="1" w:styleId="MDRSubmissionlistRomanregularnumbering">
    <w:name w:val="MDR Submission list Roman + regular numbering"/>
    <w:uiPriority w:val="99"/>
    <w:rsid w:val="000171B0"/>
    <w:pPr>
      <w:numPr>
        <w:numId w:val="12"/>
      </w:numPr>
    </w:pPr>
  </w:style>
  <w:style w:type="paragraph" w:styleId="Quote">
    <w:name w:val="Quote"/>
    <w:basedOn w:val="Normal"/>
    <w:next w:val="Normal"/>
    <w:link w:val="QuoteChar"/>
    <w:uiPriority w:val="29"/>
    <w:qFormat/>
    <w:rsid w:val="000171B0"/>
    <w:rPr>
      <w:i/>
      <w:iCs/>
      <w:color w:val="000000" w:themeColor="text1"/>
    </w:rPr>
  </w:style>
  <w:style w:type="character" w:customStyle="1" w:styleId="QuoteChar">
    <w:name w:val="Quote Char"/>
    <w:basedOn w:val="DefaultParagraphFont"/>
    <w:link w:val="Quote"/>
    <w:uiPriority w:val="29"/>
    <w:rsid w:val="000171B0"/>
    <w:rPr>
      <w:rFonts w:ascii="Times New Roman" w:hAnsi="Times New Roman"/>
      <w:i/>
      <w:iCs/>
      <w:color w:val="000000" w:themeColor="text1"/>
      <w:sz w:val="24"/>
      <w:szCs w:val="22"/>
      <w:lang w:val="en-GB"/>
    </w:rPr>
  </w:style>
  <w:style w:type="paragraph" w:customStyle="1" w:styleId="TxBrp19">
    <w:name w:val="TxBr_p19"/>
    <w:basedOn w:val="Normal"/>
    <w:rsid w:val="00FC1216"/>
    <w:pPr>
      <w:tabs>
        <w:tab w:val="left" w:pos="1060"/>
      </w:tabs>
      <w:spacing w:after="200" w:line="255" w:lineRule="atLeast"/>
      <w:ind w:left="703"/>
    </w:pPr>
    <w:rPr>
      <w:rFonts w:ascii="Calibri" w:hAnsi="Calibri"/>
      <w:sz w:val="22"/>
      <w:lang w:bidi="en-US"/>
    </w:rPr>
  </w:style>
  <w:style w:type="character" w:customStyle="1" w:styleId="HeaderChar">
    <w:name w:val="Header Char"/>
    <w:basedOn w:val="DefaultParagraphFont"/>
    <w:link w:val="Header"/>
    <w:uiPriority w:val="99"/>
    <w:rsid w:val="0093136B"/>
    <w:rPr>
      <w:rFonts w:ascii="Times New Roman" w:hAnsi="Times New Roman"/>
      <w:sz w:val="24"/>
      <w:szCs w:val="22"/>
      <w:lang w:val="en-GB"/>
    </w:rPr>
  </w:style>
  <w:style w:type="character" w:customStyle="1" w:styleId="FooterChar">
    <w:name w:val="Footer Char"/>
    <w:basedOn w:val="DefaultParagraphFont"/>
    <w:link w:val="Footer"/>
    <w:uiPriority w:val="99"/>
    <w:rsid w:val="00895353"/>
    <w:rPr>
      <w:rFonts w:ascii="Times New Roman" w:hAnsi="Times New Roman"/>
      <w:sz w:val="24"/>
      <w:szCs w:val="22"/>
      <w:lang w:val="en-GB"/>
    </w:rPr>
  </w:style>
  <w:style w:type="paragraph" w:customStyle="1" w:styleId="Default">
    <w:name w:val="Default"/>
    <w:rsid w:val="004A3BA9"/>
    <w:pPr>
      <w:autoSpaceDE w:val="0"/>
      <w:autoSpaceDN w:val="0"/>
      <w:adjustRightInd w:val="0"/>
    </w:pPr>
    <w:rPr>
      <w:rFonts w:ascii="Cambria" w:hAnsi="Cambria" w:cs="Cambria"/>
      <w:color w:val="000000"/>
      <w:sz w:val="24"/>
      <w:szCs w:val="24"/>
    </w:rPr>
  </w:style>
  <w:style w:type="character" w:customStyle="1" w:styleId="UnresolvedMention">
    <w:name w:val="Unresolved Mention"/>
    <w:basedOn w:val="DefaultParagraphFont"/>
    <w:uiPriority w:val="99"/>
    <w:semiHidden/>
    <w:unhideWhenUsed/>
    <w:rsid w:val="00866251"/>
    <w:rPr>
      <w:color w:val="605E5C"/>
      <w:shd w:val="clear" w:color="auto" w:fill="E1DFDD"/>
    </w:rPr>
  </w:style>
  <w:style w:type="character" w:customStyle="1" w:styleId="A2">
    <w:name w:val="A2"/>
    <w:uiPriority w:val="99"/>
    <w:rsid w:val="008A68D4"/>
    <w:rPr>
      <w:rFonts w:cs="Myriad Pro Light"/>
      <w:color w:val="000000"/>
      <w:sz w:val="18"/>
      <w:szCs w:val="18"/>
    </w:rPr>
  </w:style>
  <w:style w:type="character" w:customStyle="1" w:styleId="A6">
    <w:name w:val="A6"/>
    <w:uiPriority w:val="99"/>
    <w:rsid w:val="00CB78F5"/>
    <w:rPr>
      <w:rFonts w:cs="AG DaxProRegular"/>
      <w:color w:val="000000"/>
      <w:sz w:val="20"/>
      <w:szCs w:val="20"/>
    </w:rPr>
  </w:style>
  <w:style w:type="paragraph" w:customStyle="1" w:styleId="Pa25">
    <w:name w:val="Pa25"/>
    <w:basedOn w:val="Default"/>
    <w:next w:val="Default"/>
    <w:uiPriority w:val="99"/>
    <w:rsid w:val="006B459B"/>
    <w:pPr>
      <w:spacing w:line="121" w:lineRule="atLeast"/>
    </w:pPr>
    <w:rPr>
      <w:rFonts w:ascii="Times New Roman" w:hAnsi="Times New Roman" w:cs="Times New Roman"/>
      <w:color w:val="auto"/>
    </w:rPr>
  </w:style>
  <w:style w:type="paragraph" w:customStyle="1" w:styleId="Pa8">
    <w:name w:val="Pa8"/>
    <w:basedOn w:val="Default"/>
    <w:next w:val="Default"/>
    <w:uiPriority w:val="99"/>
    <w:rsid w:val="00F66B86"/>
    <w:pPr>
      <w:spacing w:line="261" w:lineRule="atLeast"/>
    </w:pPr>
    <w:rPr>
      <w:rFonts w:ascii="AG DaxProRegular" w:hAnsi="AG DaxProRegular" w:cs="Times New Roman"/>
      <w:color w:val="auto"/>
    </w:rPr>
  </w:style>
  <w:style w:type="paragraph" w:customStyle="1" w:styleId="Pa43">
    <w:name w:val="Pa43"/>
    <w:basedOn w:val="Default"/>
    <w:next w:val="Default"/>
    <w:uiPriority w:val="99"/>
    <w:rsid w:val="00FF21F2"/>
    <w:pPr>
      <w:spacing w:line="241" w:lineRule="atLeast"/>
    </w:pPr>
    <w:rPr>
      <w:rFonts w:ascii="AG DaxProRegular" w:hAnsi="AG DaxProRegular" w:cs="Times New Roman"/>
      <w:color w:val="auto"/>
    </w:rPr>
  </w:style>
  <w:style w:type="character" w:customStyle="1" w:styleId="A13">
    <w:name w:val="A13"/>
    <w:uiPriority w:val="99"/>
    <w:rsid w:val="00FF21F2"/>
    <w:rPr>
      <w:rFonts w:cs="AG DaxProRegular"/>
      <w:color w:val="000000"/>
      <w:sz w:val="18"/>
      <w:szCs w:val="18"/>
    </w:rPr>
  </w:style>
  <w:style w:type="paragraph" w:customStyle="1" w:styleId="Pa44">
    <w:name w:val="Pa44"/>
    <w:basedOn w:val="Default"/>
    <w:next w:val="Default"/>
    <w:uiPriority w:val="99"/>
    <w:rsid w:val="00AC423A"/>
    <w:pPr>
      <w:spacing w:line="241" w:lineRule="atLeast"/>
    </w:pPr>
    <w:rPr>
      <w:rFonts w:ascii="AG DaxProBold" w:hAnsi="AG DaxProBold" w:cs="Times New Roman"/>
      <w:color w:val="auto"/>
    </w:rPr>
  </w:style>
  <w:style w:type="character" w:customStyle="1" w:styleId="A3">
    <w:name w:val="A3"/>
    <w:uiPriority w:val="99"/>
    <w:rsid w:val="00AC423A"/>
    <w:rPr>
      <w:rFonts w:cs="AG DaxProBold"/>
      <w:b/>
      <w:bCs/>
      <w:color w:val="000000"/>
      <w:sz w:val="16"/>
      <w:szCs w:val="16"/>
    </w:rPr>
  </w:style>
  <w:style w:type="paragraph" w:customStyle="1" w:styleId="Pa28">
    <w:name w:val="Pa28"/>
    <w:basedOn w:val="Default"/>
    <w:next w:val="Default"/>
    <w:uiPriority w:val="99"/>
    <w:rsid w:val="006019BC"/>
    <w:pPr>
      <w:spacing w:line="261" w:lineRule="atLeast"/>
    </w:pPr>
    <w:rPr>
      <w:rFonts w:ascii="AG DaxProRegular" w:hAnsi="AG DaxProRegular" w:cs="Times New Roman"/>
      <w:color w:val="auto"/>
    </w:rPr>
  </w:style>
  <w:style w:type="paragraph" w:customStyle="1" w:styleId="Pa4">
    <w:name w:val="Pa4"/>
    <w:basedOn w:val="Default"/>
    <w:next w:val="Default"/>
    <w:uiPriority w:val="99"/>
    <w:rsid w:val="00B352CA"/>
    <w:pPr>
      <w:spacing w:line="261" w:lineRule="atLeast"/>
    </w:pPr>
    <w:rPr>
      <w:rFonts w:ascii="Minion Pro" w:hAnsi="Minion Pro" w:cs="Times New Roman"/>
      <w:color w:val="auto"/>
    </w:rPr>
  </w:style>
  <w:style w:type="character" w:customStyle="1" w:styleId="A5">
    <w:name w:val="A5"/>
    <w:uiPriority w:val="99"/>
    <w:rsid w:val="00B352CA"/>
    <w:rPr>
      <w:rFonts w:cs="Minion Pro"/>
      <w:color w:val="000000"/>
      <w:sz w:val="21"/>
      <w:szCs w:val="21"/>
    </w:rPr>
  </w:style>
  <w:style w:type="character" w:customStyle="1" w:styleId="A11">
    <w:name w:val="A11"/>
    <w:uiPriority w:val="99"/>
    <w:rsid w:val="00554361"/>
    <w:rPr>
      <w:rFonts w:cs="AG DaxProRegular"/>
      <w:color w:val="000000"/>
      <w:sz w:val="12"/>
      <w:szCs w:val="1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footnote text" w:qFormat="1"/>
    <w:lsdException w:name="caption" w:uiPriority="35" w:qFormat="1"/>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797"/>
    <w:pPr>
      <w:spacing w:line="276" w:lineRule="auto"/>
      <w:jc w:val="both"/>
    </w:pPr>
    <w:rPr>
      <w:rFonts w:ascii="Times New Roman" w:hAnsi="Times New Roman"/>
      <w:sz w:val="24"/>
      <w:szCs w:val="22"/>
      <w:lang w:val="en-GB"/>
    </w:rPr>
  </w:style>
  <w:style w:type="paragraph" w:styleId="Heading1">
    <w:name w:val="heading 1"/>
    <w:basedOn w:val="Normal"/>
    <w:next w:val="Normal"/>
    <w:link w:val="Heading1Char"/>
    <w:qFormat/>
    <w:rsid w:val="00802797"/>
    <w:pPr>
      <w:keepNext/>
      <w:numPr>
        <w:numId w:val="5"/>
      </w:numPr>
      <w:pBdr>
        <w:bottom w:val="single" w:sz="4" w:space="1" w:color="auto"/>
      </w:pBdr>
      <w:spacing w:line="240" w:lineRule="auto"/>
      <w:outlineLvl w:val="0"/>
    </w:pPr>
    <w:rPr>
      <w:rFonts w:cs="Arial"/>
      <w:b/>
      <w:bCs/>
      <w:caps/>
      <w:kern w:val="32"/>
      <w:szCs w:val="24"/>
      <w:lang w:val="nl-BE" w:eastAsia="nl-BE"/>
    </w:rPr>
  </w:style>
  <w:style w:type="paragraph" w:styleId="Heading2">
    <w:name w:val="heading 2"/>
    <w:basedOn w:val="Normal"/>
    <w:next w:val="Normal"/>
    <w:link w:val="Heading2Char"/>
    <w:qFormat/>
    <w:rsid w:val="00802797"/>
    <w:pPr>
      <w:keepNext/>
      <w:numPr>
        <w:ilvl w:val="1"/>
        <w:numId w:val="5"/>
      </w:numPr>
      <w:spacing w:line="240" w:lineRule="auto"/>
      <w:outlineLvl w:val="1"/>
    </w:pPr>
    <w:rPr>
      <w:b/>
      <w:bCs/>
      <w:iCs/>
      <w:smallCaps/>
      <w:szCs w:val="24"/>
    </w:rPr>
  </w:style>
  <w:style w:type="paragraph" w:styleId="Heading3">
    <w:name w:val="heading 3"/>
    <w:basedOn w:val="Normal"/>
    <w:next w:val="Normal"/>
    <w:link w:val="Heading3Char"/>
    <w:qFormat/>
    <w:rsid w:val="00802797"/>
    <w:pPr>
      <w:keepNext/>
      <w:numPr>
        <w:ilvl w:val="2"/>
        <w:numId w:val="6"/>
      </w:numPr>
      <w:tabs>
        <w:tab w:val="left" w:pos="1134"/>
      </w:tabs>
      <w:spacing w:line="240" w:lineRule="auto"/>
      <w:outlineLvl w:val="2"/>
    </w:pPr>
    <w:rPr>
      <w:rFonts w:cs="Arial"/>
      <w:b/>
      <w:bCs/>
      <w:szCs w:val="24"/>
      <w:lang w:val="nl-BE" w:eastAsia="nl-BE"/>
    </w:rPr>
  </w:style>
  <w:style w:type="paragraph" w:styleId="Heading4">
    <w:name w:val="heading 4"/>
    <w:basedOn w:val="Normal"/>
    <w:next w:val="Normal"/>
    <w:link w:val="Heading4Char"/>
    <w:uiPriority w:val="9"/>
    <w:qFormat/>
    <w:rsid w:val="00802797"/>
    <w:pPr>
      <w:keepNext/>
      <w:numPr>
        <w:ilvl w:val="3"/>
        <w:numId w:val="7"/>
      </w:numPr>
      <w:spacing w:before="240" w:after="60"/>
      <w:outlineLvl w:val="3"/>
    </w:pPr>
    <w:rPr>
      <w:b/>
      <w:bCs/>
      <w:i/>
      <w:szCs w:val="24"/>
    </w:rPr>
  </w:style>
  <w:style w:type="paragraph" w:styleId="Heading5">
    <w:name w:val="heading 5"/>
    <w:basedOn w:val="Normal"/>
    <w:next w:val="Normal"/>
    <w:link w:val="Heading5Char"/>
    <w:uiPriority w:val="9"/>
    <w:qFormat/>
    <w:rsid w:val="00802797"/>
    <w:pPr>
      <w:numPr>
        <w:numId w:val="9"/>
      </w:numPr>
      <w:spacing w:line="240" w:lineRule="auto"/>
      <w:outlineLvl w:val="4"/>
    </w:pPr>
    <w:rPr>
      <w:rFonts w:eastAsia="Times New Roman"/>
      <w:b/>
      <w:bCs/>
      <w:i/>
      <w:iCs/>
      <w:szCs w:val="24"/>
      <w:lang w:val="en-US"/>
    </w:rPr>
  </w:style>
  <w:style w:type="paragraph" w:styleId="Heading6">
    <w:name w:val="heading 6"/>
    <w:basedOn w:val="Normal"/>
    <w:next w:val="Normal"/>
    <w:link w:val="Heading6Char"/>
    <w:uiPriority w:val="9"/>
    <w:semiHidden/>
    <w:unhideWhenUsed/>
    <w:qFormat/>
    <w:rsid w:val="00802797"/>
    <w:pPr>
      <w:keepNext/>
      <w:keepLines/>
      <w:spacing w:before="200"/>
      <w:outlineLvl w:val="5"/>
    </w:pPr>
    <w:rPr>
      <w:rFonts w:ascii="Cambria" w:eastAsia="Times New Roman" w:hAnsi="Cambria"/>
      <w:i/>
      <w:iCs/>
      <w:color w:val="243F60"/>
    </w:rPr>
  </w:style>
  <w:style w:type="paragraph" w:styleId="Heading7">
    <w:name w:val="heading 7"/>
    <w:basedOn w:val="Normal"/>
    <w:next w:val="Normal"/>
    <w:link w:val="Heading7Char"/>
    <w:uiPriority w:val="9"/>
    <w:semiHidden/>
    <w:unhideWhenUsed/>
    <w:qFormat/>
    <w:rsid w:val="00802797"/>
    <w:pPr>
      <w:keepNext/>
      <w:keepLines/>
      <w:spacing w:before="200"/>
      <w:outlineLvl w:val="6"/>
    </w:pPr>
    <w:rPr>
      <w:rFonts w:ascii="Cambria" w:eastAsia="Times New Roman" w:hAnsi="Cambria"/>
      <w:i/>
      <w:iCs/>
      <w:color w:val="4040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Heading3TimesNewRoman12pt">
    <w:name w:val="Style Heading 3 + Times New Roman 12 pt"/>
    <w:basedOn w:val="Heading3"/>
    <w:autoRedefine/>
    <w:rsid w:val="00802797"/>
    <w:pPr>
      <w:numPr>
        <w:ilvl w:val="0"/>
        <w:numId w:val="1"/>
      </w:numPr>
    </w:pPr>
    <w:rPr>
      <w:b w:val="0"/>
      <w:smallCaps/>
      <w:u w:val="words"/>
      <w:lang w:val="nl-NL"/>
    </w:rPr>
  </w:style>
  <w:style w:type="paragraph" w:styleId="Header">
    <w:name w:val="header"/>
    <w:basedOn w:val="Normal"/>
    <w:link w:val="HeaderChar"/>
    <w:uiPriority w:val="99"/>
    <w:rsid w:val="00802797"/>
    <w:pPr>
      <w:tabs>
        <w:tab w:val="center" w:pos="4320"/>
        <w:tab w:val="right" w:pos="8640"/>
      </w:tabs>
    </w:pPr>
  </w:style>
  <w:style w:type="paragraph" w:styleId="Footer">
    <w:name w:val="footer"/>
    <w:basedOn w:val="Normal"/>
    <w:link w:val="FooterChar"/>
    <w:uiPriority w:val="99"/>
    <w:rsid w:val="00802797"/>
    <w:pPr>
      <w:tabs>
        <w:tab w:val="center" w:pos="4320"/>
        <w:tab w:val="right" w:pos="8640"/>
      </w:tabs>
    </w:pPr>
  </w:style>
  <w:style w:type="character" w:styleId="PageNumber">
    <w:name w:val="page number"/>
    <w:basedOn w:val="DefaultParagraphFont"/>
    <w:rsid w:val="00802797"/>
  </w:style>
  <w:style w:type="paragraph" w:customStyle="1" w:styleId="Style1">
    <w:name w:val="Style1"/>
    <w:basedOn w:val="Heading1"/>
    <w:autoRedefine/>
    <w:rsid w:val="00802797"/>
    <w:pPr>
      <w:numPr>
        <w:numId w:val="2"/>
      </w:numPr>
    </w:pPr>
    <w:rPr>
      <w:sz w:val="28"/>
      <w:szCs w:val="28"/>
    </w:rPr>
  </w:style>
  <w:style w:type="paragraph" w:customStyle="1" w:styleId="Style2">
    <w:name w:val="Style2"/>
    <w:basedOn w:val="Heading1"/>
    <w:rsid w:val="00802797"/>
    <w:pPr>
      <w:numPr>
        <w:numId w:val="3"/>
      </w:numPr>
    </w:pPr>
    <w:rPr>
      <w:sz w:val="28"/>
      <w:szCs w:val="28"/>
    </w:rPr>
  </w:style>
  <w:style w:type="character" w:styleId="Hyperlink">
    <w:name w:val="Hyperlink"/>
    <w:basedOn w:val="DefaultParagraphFont"/>
    <w:uiPriority w:val="99"/>
    <w:rsid w:val="00802797"/>
    <w:rPr>
      <w:color w:val="0000FF"/>
      <w:u w:val="single"/>
    </w:rPr>
  </w:style>
  <w:style w:type="paragraph" w:styleId="FootnoteText">
    <w:name w:val="footnote text"/>
    <w:basedOn w:val="Normal"/>
    <w:link w:val="FootnoteTextChar"/>
    <w:uiPriority w:val="99"/>
    <w:unhideWhenUsed/>
    <w:qFormat/>
    <w:rsid w:val="00802797"/>
    <w:rPr>
      <w:sz w:val="20"/>
      <w:lang w:bidi="en-US"/>
    </w:rPr>
  </w:style>
  <w:style w:type="character" w:styleId="FootnoteReference">
    <w:name w:val="footnote reference"/>
    <w:basedOn w:val="DefaultParagraphFont"/>
    <w:uiPriority w:val="99"/>
    <w:rsid w:val="00802797"/>
    <w:rPr>
      <w:rFonts w:ascii="Times New Roman" w:hAnsi="Times New Roman"/>
      <w:sz w:val="20"/>
      <w:szCs w:val="20"/>
      <w:vertAlign w:val="superscript"/>
    </w:rPr>
  </w:style>
  <w:style w:type="paragraph" w:styleId="TOC1">
    <w:name w:val="toc 1"/>
    <w:basedOn w:val="Normal"/>
    <w:next w:val="Normal"/>
    <w:autoRedefine/>
    <w:uiPriority w:val="39"/>
    <w:unhideWhenUsed/>
    <w:qFormat/>
    <w:rsid w:val="00026334"/>
    <w:pPr>
      <w:tabs>
        <w:tab w:val="left" w:pos="709"/>
        <w:tab w:val="right" w:leader="dot" w:pos="9090"/>
      </w:tabs>
      <w:spacing w:before="240" w:after="240" w:line="240" w:lineRule="auto"/>
    </w:pPr>
    <w:rPr>
      <w:b/>
      <w:smallCaps/>
      <w:noProof/>
    </w:rPr>
  </w:style>
  <w:style w:type="paragraph" w:styleId="TOC2">
    <w:name w:val="toc 2"/>
    <w:basedOn w:val="Normal"/>
    <w:next w:val="Normal"/>
    <w:autoRedefine/>
    <w:uiPriority w:val="39"/>
    <w:unhideWhenUsed/>
    <w:qFormat/>
    <w:rsid w:val="00802797"/>
    <w:pPr>
      <w:tabs>
        <w:tab w:val="left" w:pos="1170"/>
        <w:tab w:val="right" w:leader="dot" w:pos="9090"/>
      </w:tabs>
      <w:ind w:left="1170" w:hanging="450"/>
    </w:pPr>
    <w:rPr>
      <w:noProof/>
      <w:lang w:val="nl-BE"/>
    </w:rPr>
  </w:style>
  <w:style w:type="paragraph" w:styleId="TOC3">
    <w:name w:val="toc 3"/>
    <w:basedOn w:val="Normal"/>
    <w:next w:val="Normal"/>
    <w:autoRedefine/>
    <w:uiPriority w:val="39"/>
    <w:unhideWhenUsed/>
    <w:qFormat/>
    <w:rsid w:val="00802797"/>
    <w:pPr>
      <w:tabs>
        <w:tab w:val="left" w:pos="1710"/>
        <w:tab w:val="right" w:leader="dot" w:pos="9090"/>
      </w:tabs>
      <w:ind w:left="1710" w:right="-18" w:hanging="540"/>
    </w:pPr>
    <w:rPr>
      <w:i/>
      <w:noProof/>
      <w:lang w:val="nl-NL"/>
    </w:rPr>
  </w:style>
  <w:style w:type="paragraph" w:styleId="TOC4">
    <w:name w:val="toc 4"/>
    <w:basedOn w:val="Normal"/>
    <w:next w:val="Normal"/>
    <w:autoRedefine/>
    <w:semiHidden/>
    <w:rsid w:val="00802797"/>
    <w:pPr>
      <w:ind w:left="720"/>
    </w:pPr>
    <w:rPr>
      <w:sz w:val="18"/>
      <w:szCs w:val="18"/>
    </w:rPr>
  </w:style>
  <w:style w:type="paragraph" w:styleId="TOC5">
    <w:name w:val="toc 5"/>
    <w:basedOn w:val="Normal"/>
    <w:next w:val="Normal"/>
    <w:autoRedefine/>
    <w:semiHidden/>
    <w:rsid w:val="00802797"/>
    <w:pPr>
      <w:ind w:left="960"/>
    </w:pPr>
    <w:rPr>
      <w:sz w:val="18"/>
      <w:szCs w:val="18"/>
    </w:rPr>
  </w:style>
  <w:style w:type="paragraph" w:styleId="TOC6">
    <w:name w:val="toc 6"/>
    <w:basedOn w:val="Normal"/>
    <w:next w:val="Normal"/>
    <w:autoRedefine/>
    <w:semiHidden/>
    <w:rsid w:val="00802797"/>
    <w:pPr>
      <w:ind w:left="1200"/>
    </w:pPr>
    <w:rPr>
      <w:sz w:val="18"/>
      <w:szCs w:val="18"/>
    </w:rPr>
  </w:style>
  <w:style w:type="paragraph" w:styleId="TOC7">
    <w:name w:val="toc 7"/>
    <w:basedOn w:val="Normal"/>
    <w:next w:val="Normal"/>
    <w:autoRedefine/>
    <w:semiHidden/>
    <w:rsid w:val="00802797"/>
    <w:pPr>
      <w:ind w:left="1440"/>
    </w:pPr>
    <w:rPr>
      <w:sz w:val="18"/>
      <w:szCs w:val="18"/>
    </w:rPr>
  </w:style>
  <w:style w:type="paragraph" w:styleId="TOC8">
    <w:name w:val="toc 8"/>
    <w:basedOn w:val="Normal"/>
    <w:next w:val="Normal"/>
    <w:autoRedefine/>
    <w:semiHidden/>
    <w:rsid w:val="00802797"/>
    <w:pPr>
      <w:ind w:left="1680"/>
    </w:pPr>
    <w:rPr>
      <w:sz w:val="18"/>
      <w:szCs w:val="18"/>
    </w:rPr>
  </w:style>
  <w:style w:type="paragraph" w:styleId="TOC9">
    <w:name w:val="toc 9"/>
    <w:basedOn w:val="Normal"/>
    <w:next w:val="Normal"/>
    <w:autoRedefine/>
    <w:semiHidden/>
    <w:rsid w:val="00802797"/>
    <w:pPr>
      <w:ind w:left="1920"/>
    </w:pPr>
    <w:rPr>
      <w:sz w:val="18"/>
      <w:szCs w:val="18"/>
    </w:rPr>
  </w:style>
  <w:style w:type="table" w:styleId="TableGrid">
    <w:name w:val="Table Grid"/>
    <w:basedOn w:val="TableNormal"/>
    <w:rsid w:val="008027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rsid w:val="00802797"/>
    <w:rPr>
      <w:color w:val="800080"/>
      <w:u w:val="single"/>
    </w:rPr>
  </w:style>
  <w:style w:type="paragraph" w:styleId="EndnoteText">
    <w:name w:val="endnote text"/>
    <w:basedOn w:val="Normal"/>
    <w:semiHidden/>
    <w:rsid w:val="00802797"/>
    <w:rPr>
      <w:sz w:val="20"/>
      <w:szCs w:val="20"/>
    </w:rPr>
  </w:style>
  <w:style w:type="character" w:styleId="EndnoteReference">
    <w:name w:val="endnote reference"/>
    <w:basedOn w:val="DefaultParagraphFont"/>
    <w:semiHidden/>
    <w:rsid w:val="00802797"/>
    <w:rPr>
      <w:vertAlign w:val="superscript"/>
    </w:rPr>
  </w:style>
  <w:style w:type="paragraph" w:styleId="BalloonText">
    <w:name w:val="Balloon Text"/>
    <w:basedOn w:val="Normal"/>
    <w:link w:val="BalloonTextChar"/>
    <w:uiPriority w:val="99"/>
    <w:semiHidden/>
    <w:unhideWhenUsed/>
    <w:rsid w:val="00802797"/>
    <w:rPr>
      <w:rFonts w:ascii="Tahoma" w:hAnsi="Tahoma" w:cs="Tahoma"/>
      <w:sz w:val="16"/>
      <w:szCs w:val="16"/>
    </w:rPr>
  </w:style>
  <w:style w:type="character" w:customStyle="1" w:styleId="BalloonTextChar">
    <w:name w:val="Balloon Text Char"/>
    <w:basedOn w:val="DefaultParagraphFont"/>
    <w:link w:val="BalloonText"/>
    <w:uiPriority w:val="99"/>
    <w:semiHidden/>
    <w:rsid w:val="00802797"/>
    <w:rPr>
      <w:rFonts w:ascii="Tahoma" w:hAnsi="Tahoma" w:cs="Tahoma"/>
      <w:sz w:val="16"/>
      <w:szCs w:val="16"/>
      <w:lang w:val="fr-BE" w:eastAsia="en-US"/>
    </w:rPr>
  </w:style>
  <w:style w:type="paragraph" w:styleId="ListParagraph">
    <w:name w:val="List Paragraph"/>
    <w:basedOn w:val="Normal"/>
    <w:uiPriority w:val="34"/>
    <w:qFormat/>
    <w:rsid w:val="00802797"/>
    <w:pPr>
      <w:spacing w:line="240" w:lineRule="auto"/>
      <w:ind w:left="720"/>
      <w:contextualSpacing/>
    </w:pPr>
    <w:rPr>
      <w:szCs w:val="24"/>
      <w:lang w:val="fr-FR" w:eastAsia="fr-FR"/>
    </w:rPr>
  </w:style>
  <w:style w:type="character" w:styleId="CommentReference">
    <w:name w:val="annotation reference"/>
    <w:basedOn w:val="DefaultParagraphFont"/>
    <w:uiPriority w:val="99"/>
    <w:semiHidden/>
    <w:unhideWhenUsed/>
    <w:rsid w:val="00802797"/>
    <w:rPr>
      <w:sz w:val="16"/>
      <w:szCs w:val="16"/>
    </w:rPr>
  </w:style>
  <w:style w:type="paragraph" w:styleId="CommentText">
    <w:name w:val="annotation text"/>
    <w:basedOn w:val="Normal"/>
    <w:link w:val="CommentTextChar"/>
    <w:uiPriority w:val="99"/>
    <w:unhideWhenUsed/>
    <w:rsid w:val="00802797"/>
    <w:rPr>
      <w:sz w:val="20"/>
      <w:szCs w:val="20"/>
    </w:rPr>
  </w:style>
  <w:style w:type="character" w:customStyle="1" w:styleId="CommentTextChar">
    <w:name w:val="Comment Text Char"/>
    <w:basedOn w:val="DefaultParagraphFont"/>
    <w:link w:val="CommentText"/>
    <w:uiPriority w:val="99"/>
    <w:rsid w:val="00802797"/>
    <w:rPr>
      <w:lang w:val="fr-BE" w:eastAsia="en-US"/>
    </w:rPr>
  </w:style>
  <w:style w:type="paragraph" w:styleId="CommentSubject">
    <w:name w:val="annotation subject"/>
    <w:basedOn w:val="CommentText"/>
    <w:next w:val="CommentText"/>
    <w:link w:val="CommentSubjectChar"/>
    <w:uiPriority w:val="99"/>
    <w:semiHidden/>
    <w:unhideWhenUsed/>
    <w:rsid w:val="00802797"/>
    <w:rPr>
      <w:b/>
      <w:bCs/>
    </w:rPr>
  </w:style>
  <w:style w:type="character" w:customStyle="1" w:styleId="CommentSubjectChar">
    <w:name w:val="Comment Subject Char"/>
    <w:basedOn w:val="CommentTextChar"/>
    <w:link w:val="CommentSubject"/>
    <w:uiPriority w:val="99"/>
    <w:semiHidden/>
    <w:rsid w:val="00802797"/>
    <w:rPr>
      <w:b/>
      <w:bCs/>
      <w:lang w:val="fr-BE" w:eastAsia="en-US"/>
    </w:rPr>
  </w:style>
  <w:style w:type="paragraph" w:styleId="PlainText">
    <w:name w:val="Plain Text"/>
    <w:basedOn w:val="Normal"/>
    <w:link w:val="PlainTextChar"/>
    <w:uiPriority w:val="99"/>
    <w:semiHidden/>
    <w:unhideWhenUsed/>
    <w:rsid w:val="00802797"/>
    <w:rPr>
      <w:szCs w:val="21"/>
      <w:lang w:val="nl-BE"/>
    </w:rPr>
  </w:style>
  <w:style w:type="character" w:customStyle="1" w:styleId="PlainTextChar">
    <w:name w:val="Plain Text Char"/>
    <w:basedOn w:val="DefaultParagraphFont"/>
    <w:link w:val="PlainText"/>
    <w:uiPriority w:val="99"/>
    <w:semiHidden/>
    <w:rsid w:val="00802797"/>
    <w:rPr>
      <w:rFonts w:eastAsia="Calibri" w:cs="Times New Roman"/>
      <w:sz w:val="24"/>
      <w:szCs w:val="21"/>
      <w:lang w:eastAsia="en-US"/>
    </w:rPr>
  </w:style>
  <w:style w:type="character" w:customStyle="1" w:styleId="FootnoteTextChar">
    <w:name w:val="Footnote Text Char"/>
    <w:basedOn w:val="DefaultParagraphFont"/>
    <w:link w:val="FootnoteText"/>
    <w:uiPriority w:val="99"/>
    <w:rsid w:val="00802797"/>
    <w:rPr>
      <w:rFonts w:ascii="Times New Roman" w:hAnsi="Times New Roman"/>
      <w:szCs w:val="22"/>
      <w:lang w:val="en-GB" w:eastAsia="en-US" w:bidi="en-US"/>
    </w:rPr>
  </w:style>
  <w:style w:type="paragraph" w:customStyle="1" w:styleId="numro">
    <w:name w:val="numéro"/>
    <w:basedOn w:val="Normal"/>
    <w:link w:val="numroChar"/>
    <w:qFormat/>
    <w:rsid w:val="00802797"/>
    <w:pPr>
      <w:numPr>
        <w:numId w:val="8"/>
      </w:numPr>
      <w:overflowPunct w:val="0"/>
      <w:autoSpaceDE w:val="0"/>
      <w:autoSpaceDN w:val="0"/>
      <w:adjustRightInd w:val="0"/>
      <w:spacing w:line="240" w:lineRule="auto"/>
      <w:textAlignment w:val="baseline"/>
    </w:pPr>
    <w:rPr>
      <w:rFonts w:ascii="CG Times" w:hAnsi="CG Times"/>
      <w:szCs w:val="20"/>
      <w:lang w:val="fr-FR" w:eastAsia="nl-BE"/>
    </w:rPr>
  </w:style>
  <w:style w:type="paragraph" w:styleId="TOCHeading">
    <w:name w:val="TOC Heading"/>
    <w:basedOn w:val="Heading1"/>
    <w:next w:val="Normal"/>
    <w:uiPriority w:val="39"/>
    <w:qFormat/>
    <w:rsid w:val="00802797"/>
    <w:pPr>
      <w:keepLines/>
      <w:numPr>
        <w:numId w:val="0"/>
      </w:numPr>
      <w:spacing w:before="480"/>
      <w:outlineLvl w:val="9"/>
    </w:pPr>
    <w:rPr>
      <w:rFonts w:ascii="Cambria" w:hAnsi="Cambria"/>
      <w:color w:val="365F91"/>
      <w:kern w:val="0"/>
      <w:sz w:val="28"/>
      <w:szCs w:val="28"/>
      <w:lang w:val="en-US" w:eastAsia="en-US"/>
    </w:rPr>
  </w:style>
  <w:style w:type="character" w:customStyle="1" w:styleId="Heading1Char">
    <w:name w:val="Heading 1 Char"/>
    <w:basedOn w:val="DefaultParagraphFont"/>
    <w:link w:val="Heading1"/>
    <w:rsid w:val="00802797"/>
    <w:rPr>
      <w:rFonts w:ascii="Times New Roman" w:hAnsi="Times New Roman" w:cs="Arial"/>
      <w:b/>
      <w:bCs/>
      <w:caps/>
      <w:kern w:val="32"/>
      <w:sz w:val="24"/>
      <w:szCs w:val="24"/>
      <w:lang w:val="nl-BE" w:eastAsia="nl-BE"/>
    </w:rPr>
  </w:style>
  <w:style w:type="character" w:customStyle="1" w:styleId="Heading2Char">
    <w:name w:val="Heading 2 Char"/>
    <w:basedOn w:val="DefaultParagraphFont"/>
    <w:link w:val="Heading2"/>
    <w:rsid w:val="00802797"/>
    <w:rPr>
      <w:rFonts w:ascii="Times New Roman" w:hAnsi="Times New Roman"/>
      <w:b/>
      <w:bCs/>
      <w:iCs/>
      <w:smallCaps/>
      <w:sz w:val="24"/>
      <w:szCs w:val="24"/>
      <w:lang w:val="en-GB"/>
    </w:rPr>
  </w:style>
  <w:style w:type="character" w:customStyle="1" w:styleId="Heading3Char">
    <w:name w:val="Heading 3 Char"/>
    <w:basedOn w:val="DefaultParagraphFont"/>
    <w:link w:val="Heading3"/>
    <w:rsid w:val="00802797"/>
    <w:rPr>
      <w:rFonts w:ascii="Times New Roman" w:hAnsi="Times New Roman" w:cs="Arial"/>
      <w:b/>
      <w:bCs/>
      <w:sz w:val="24"/>
      <w:szCs w:val="24"/>
      <w:lang w:val="nl-BE" w:eastAsia="nl-BE"/>
    </w:rPr>
  </w:style>
  <w:style w:type="character" w:customStyle="1" w:styleId="Heading4Char">
    <w:name w:val="Heading 4 Char"/>
    <w:basedOn w:val="DefaultParagraphFont"/>
    <w:link w:val="Heading4"/>
    <w:uiPriority w:val="9"/>
    <w:rsid w:val="00802797"/>
    <w:rPr>
      <w:rFonts w:ascii="Times New Roman" w:hAnsi="Times New Roman"/>
      <w:b/>
      <w:bCs/>
      <w:i/>
      <w:sz w:val="24"/>
      <w:szCs w:val="24"/>
      <w:lang w:val="en-GB"/>
    </w:rPr>
  </w:style>
  <w:style w:type="character" w:customStyle="1" w:styleId="Heading5Char">
    <w:name w:val="Heading 5 Char"/>
    <w:basedOn w:val="DefaultParagraphFont"/>
    <w:link w:val="Heading5"/>
    <w:uiPriority w:val="9"/>
    <w:rsid w:val="00802797"/>
    <w:rPr>
      <w:rFonts w:ascii="Times New Roman" w:eastAsia="Times New Roman" w:hAnsi="Times New Roman"/>
      <w:b/>
      <w:bCs/>
      <w:i/>
      <w:iCs/>
      <w:sz w:val="24"/>
      <w:szCs w:val="24"/>
    </w:rPr>
  </w:style>
  <w:style w:type="character" w:customStyle="1" w:styleId="Heading6Char">
    <w:name w:val="Heading 6 Char"/>
    <w:basedOn w:val="DefaultParagraphFont"/>
    <w:link w:val="Heading6"/>
    <w:uiPriority w:val="9"/>
    <w:semiHidden/>
    <w:rsid w:val="00802797"/>
    <w:rPr>
      <w:rFonts w:ascii="Cambria" w:eastAsia="Times New Roman" w:hAnsi="Cambria" w:cs="Times New Roman"/>
      <w:i/>
      <w:iCs/>
      <w:color w:val="243F60"/>
      <w:sz w:val="24"/>
      <w:szCs w:val="22"/>
      <w:lang w:val="en-GB" w:eastAsia="en-US"/>
    </w:rPr>
  </w:style>
  <w:style w:type="character" w:customStyle="1" w:styleId="Heading7Char">
    <w:name w:val="Heading 7 Char"/>
    <w:basedOn w:val="DefaultParagraphFont"/>
    <w:link w:val="Heading7"/>
    <w:uiPriority w:val="9"/>
    <w:semiHidden/>
    <w:rsid w:val="00802797"/>
    <w:rPr>
      <w:rFonts w:ascii="Cambria" w:eastAsia="Times New Roman" w:hAnsi="Cambria" w:cs="Times New Roman"/>
      <w:i/>
      <w:iCs/>
      <w:color w:val="404040"/>
      <w:sz w:val="24"/>
      <w:szCs w:val="22"/>
      <w:lang w:val="en-GB" w:eastAsia="en-US"/>
    </w:rPr>
  </w:style>
  <w:style w:type="paragraph" w:styleId="Caption">
    <w:name w:val="caption"/>
    <w:basedOn w:val="Normal"/>
    <w:next w:val="Normal"/>
    <w:uiPriority w:val="35"/>
    <w:qFormat/>
    <w:rsid w:val="00802797"/>
    <w:rPr>
      <w:b/>
      <w:bCs/>
      <w:sz w:val="20"/>
      <w:szCs w:val="20"/>
    </w:rPr>
  </w:style>
  <w:style w:type="paragraph" w:styleId="Title">
    <w:name w:val="Title"/>
    <w:basedOn w:val="Normal"/>
    <w:next w:val="Normal"/>
    <w:link w:val="TitleChar"/>
    <w:uiPriority w:val="10"/>
    <w:qFormat/>
    <w:rsid w:val="00802797"/>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802797"/>
    <w:rPr>
      <w:rFonts w:ascii="Cambria" w:hAnsi="Cambria"/>
      <w:b/>
      <w:bCs/>
      <w:kern w:val="28"/>
      <w:sz w:val="32"/>
      <w:szCs w:val="32"/>
      <w:lang w:val="en-GB" w:eastAsia="en-US"/>
    </w:rPr>
  </w:style>
  <w:style w:type="character" w:styleId="Strong">
    <w:name w:val="Strong"/>
    <w:basedOn w:val="DefaultParagraphFont"/>
    <w:uiPriority w:val="22"/>
    <w:qFormat/>
    <w:rsid w:val="00802797"/>
    <w:rPr>
      <w:b/>
      <w:bCs/>
    </w:rPr>
  </w:style>
  <w:style w:type="character" w:styleId="Emphasis">
    <w:name w:val="Emphasis"/>
    <w:basedOn w:val="DefaultParagraphFont"/>
    <w:uiPriority w:val="20"/>
    <w:qFormat/>
    <w:rsid w:val="00802797"/>
    <w:rPr>
      <w:i/>
      <w:iCs/>
    </w:rPr>
  </w:style>
  <w:style w:type="paragraph" w:styleId="NoSpacing">
    <w:name w:val="No Spacing"/>
    <w:uiPriority w:val="1"/>
    <w:qFormat/>
    <w:rsid w:val="00802797"/>
    <w:rPr>
      <w:sz w:val="22"/>
      <w:szCs w:val="22"/>
      <w:lang w:val="en-GB"/>
    </w:rPr>
  </w:style>
  <w:style w:type="character" w:styleId="IntenseEmphasis">
    <w:name w:val="Intense Emphasis"/>
    <w:basedOn w:val="DefaultParagraphFont"/>
    <w:uiPriority w:val="21"/>
    <w:qFormat/>
    <w:rsid w:val="00802797"/>
    <w:rPr>
      <w:b/>
      <w:bCs/>
      <w:i/>
      <w:iCs/>
      <w:color w:val="4F81BD"/>
    </w:rPr>
  </w:style>
  <w:style w:type="character" w:customStyle="1" w:styleId="numroChar">
    <w:name w:val="numéro Char"/>
    <w:basedOn w:val="DefaultParagraphFont"/>
    <w:link w:val="numro"/>
    <w:rsid w:val="00802797"/>
    <w:rPr>
      <w:rFonts w:ascii="CG Times" w:hAnsi="CG Times"/>
      <w:sz w:val="24"/>
      <w:lang w:val="fr-FR" w:eastAsia="nl-BE"/>
    </w:rPr>
  </w:style>
  <w:style w:type="character" w:customStyle="1" w:styleId="apple-converted-space">
    <w:name w:val="apple-converted-space"/>
    <w:basedOn w:val="DefaultParagraphFont"/>
    <w:rsid w:val="00802797"/>
  </w:style>
  <w:style w:type="paragraph" w:styleId="Revision">
    <w:name w:val="Revision"/>
    <w:hidden/>
    <w:uiPriority w:val="99"/>
    <w:semiHidden/>
    <w:rsid w:val="00802797"/>
    <w:rPr>
      <w:rFonts w:ascii="Times New Roman" w:hAnsi="Times New Roman"/>
      <w:sz w:val="24"/>
      <w:szCs w:val="22"/>
      <w:lang w:val="en-GB"/>
    </w:rPr>
  </w:style>
  <w:style w:type="paragraph" w:styleId="ListBullet">
    <w:name w:val="List Bullet"/>
    <w:basedOn w:val="Normal"/>
    <w:uiPriority w:val="99"/>
    <w:unhideWhenUsed/>
    <w:rsid w:val="00802797"/>
    <w:pPr>
      <w:numPr>
        <w:numId w:val="10"/>
      </w:numPr>
      <w:contextualSpacing/>
    </w:pPr>
  </w:style>
  <w:style w:type="paragraph" w:customStyle="1" w:styleId="Quotation">
    <w:name w:val="Quotation"/>
    <w:basedOn w:val="Normal"/>
    <w:link w:val="QuotationChar"/>
    <w:qFormat/>
    <w:rsid w:val="00B224DF"/>
    <w:pPr>
      <w:spacing w:line="240" w:lineRule="auto"/>
      <w:ind w:left="1440" w:right="674"/>
    </w:pPr>
    <w:rPr>
      <w:i/>
      <w:lang w:val="en-US"/>
    </w:rPr>
  </w:style>
  <w:style w:type="character" w:customStyle="1" w:styleId="QuotationChar">
    <w:name w:val="Quotation Char"/>
    <w:basedOn w:val="DefaultParagraphFont"/>
    <w:link w:val="Quotation"/>
    <w:rsid w:val="00B224DF"/>
    <w:rPr>
      <w:rFonts w:ascii="Times New Roman" w:hAnsi="Times New Roman"/>
      <w:i/>
      <w:sz w:val="24"/>
      <w:szCs w:val="22"/>
    </w:rPr>
  </w:style>
  <w:style w:type="paragraph" w:styleId="ListBullet3">
    <w:name w:val="List Bullet 3"/>
    <w:basedOn w:val="Normal"/>
    <w:uiPriority w:val="99"/>
    <w:unhideWhenUsed/>
    <w:rsid w:val="000171B0"/>
    <w:pPr>
      <w:numPr>
        <w:numId w:val="11"/>
      </w:numPr>
      <w:contextualSpacing/>
    </w:pPr>
  </w:style>
  <w:style w:type="numbering" w:customStyle="1" w:styleId="MDRSubmissionlistRomanregularnumbering">
    <w:name w:val="MDR Submission list Roman + regular numbering"/>
    <w:uiPriority w:val="99"/>
    <w:rsid w:val="000171B0"/>
    <w:pPr>
      <w:numPr>
        <w:numId w:val="12"/>
      </w:numPr>
    </w:pPr>
  </w:style>
  <w:style w:type="paragraph" w:styleId="Quote">
    <w:name w:val="Quote"/>
    <w:basedOn w:val="Normal"/>
    <w:next w:val="Normal"/>
    <w:link w:val="QuoteChar"/>
    <w:uiPriority w:val="29"/>
    <w:qFormat/>
    <w:rsid w:val="000171B0"/>
    <w:rPr>
      <w:i/>
      <w:iCs/>
      <w:color w:val="000000" w:themeColor="text1"/>
    </w:rPr>
  </w:style>
  <w:style w:type="character" w:customStyle="1" w:styleId="QuoteChar">
    <w:name w:val="Quote Char"/>
    <w:basedOn w:val="DefaultParagraphFont"/>
    <w:link w:val="Quote"/>
    <w:uiPriority w:val="29"/>
    <w:rsid w:val="000171B0"/>
    <w:rPr>
      <w:rFonts w:ascii="Times New Roman" w:hAnsi="Times New Roman"/>
      <w:i/>
      <w:iCs/>
      <w:color w:val="000000" w:themeColor="text1"/>
      <w:sz w:val="24"/>
      <w:szCs w:val="22"/>
      <w:lang w:val="en-GB"/>
    </w:rPr>
  </w:style>
  <w:style w:type="paragraph" w:customStyle="1" w:styleId="TxBrp19">
    <w:name w:val="TxBr_p19"/>
    <w:basedOn w:val="Normal"/>
    <w:rsid w:val="00FC1216"/>
    <w:pPr>
      <w:tabs>
        <w:tab w:val="left" w:pos="1060"/>
      </w:tabs>
      <w:spacing w:after="200" w:line="255" w:lineRule="atLeast"/>
      <w:ind w:left="703"/>
    </w:pPr>
    <w:rPr>
      <w:rFonts w:ascii="Calibri" w:hAnsi="Calibri"/>
      <w:sz w:val="22"/>
      <w:lang w:bidi="en-US"/>
    </w:rPr>
  </w:style>
  <w:style w:type="character" w:customStyle="1" w:styleId="HeaderChar">
    <w:name w:val="Header Char"/>
    <w:basedOn w:val="DefaultParagraphFont"/>
    <w:link w:val="Header"/>
    <w:uiPriority w:val="99"/>
    <w:rsid w:val="0093136B"/>
    <w:rPr>
      <w:rFonts w:ascii="Times New Roman" w:hAnsi="Times New Roman"/>
      <w:sz w:val="24"/>
      <w:szCs w:val="22"/>
      <w:lang w:val="en-GB"/>
    </w:rPr>
  </w:style>
  <w:style w:type="character" w:customStyle="1" w:styleId="FooterChar">
    <w:name w:val="Footer Char"/>
    <w:basedOn w:val="DefaultParagraphFont"/>
    <w:link w:val="Footer"/>
    <w:uiPriority w:val="99"/>
    <w:rsid w:val="00895353"/>
    <w:rPr>
      <w:rFonts w:ascii="Times New Roman" w:hAnsi="Times New Roman"/>
      <w:sz w:val="24"/>
      <w:szCs w:val="22"/>
      <w:lang w:val="en-GB"/>
    </w:rPr>
  </w:style>
  <w:style w:type="paragraph" w:customStyle="1" w:styleId="Default">
    <w:name w:val="Default"/>
    <w:rsid w:val="004A3BA9"/>
    <w:pPr>
      <w:autoSpaceDE w:val="0"/>
      <w:autoSpaceDN w:val="0"/>
      <w:adjustRightInd w:val="0"/>
    </w:pPr>
    <w:rPr>
      <w:rFonts w:ascii="Cambria" w:hAnsi="Cambria" w:cs="Cambria"/>
      <w:color w:val="000000"/>
      <w:sz w:val="24"/>
      <w:szCs w:val="24"/>
    </w:rPr>
  </w:style>
  <w:style w:type="character" w:customStyle="1" w:styleId="UnresolvedMention">
    <w:name w:val="Unresolved Mention"/>
    <w:basedOn w:val="DefaultParagraphFont"/>
    <w:uiPriority w:val="99"/>
    <w:semiHidden/>
    <w:unhideWhenUsed/>
    <w:rsid w:val="00866251"/>
    <w:rPr>
      <w:color w:val="605E5C"/>
      <w:shd w:val="clear" w:color="auto" w:fill="E1DFDD"/>
    </w:rPr>
  </w:style>
  <w:style w:type="character" w:customStyle="1" w:styleId="A2">
    <w:name w:val="A2"/>
    <w:uiPriority w:val="99"/>
    <w:rsid w:val="008A68D4"/>
    <w:rPr>
      <w:rFonts w:cs="Myriad Pro Light"/>
      <w:color w:val="000000"/>
      <w:sz w:val="18"/>
      <w:szCs w:val="18"/>
    </w:rPr>
  </w:style>
  <w:style w:type="character" w:customStyle="1" w:styleId="A6">
    <w:name w:val="A6"/>
    <w:uiPriority w:val="99"/>
    <w:rsid w:val="00CB78F5"/>
    <w:rPr>
      <w:rFonts w:cs="AG DaxProRegular"/>
      <w:color w:val="000000"/>
      <w:sz w:val="20"/>
      <w:szCs w:val="20"/>
    </w:rPr>
  </w:style>
  <w:style w:type="paragraph" w:customStyle="1" w:styleId="Pa25">
    <w:name w:val="Pa25"/>
    <w:basedOn w:val="Default"/>
    <w:next w:val="Default"/>
    <w:uiPriority w:val="99"/>
    <w:rsid w:val="006B459B"/>
    <w:pPr>
      <w:spacing w:line="121" w:lineRule="atLeast"/>
    </w:pPr>
    <w:rPr>
      <w:rFonts w:ascii="Times New Roman" w:hAnsi="Times New Roman" w:cs="Times New Roman"/>
      <w:color w:val="auto"/>
    </w:rPr>
  </w:style>
  <w:style w:type="paragraph" w:customStyle="1" w:styleId="Pa8">
    <w:name w:val="Pa8"/>
    <w:basedOn w:val="Default"/>
    <w:next w:val="Default"/>
    <w:uiPriority w:val="99"/>
    <w:rsid w:val="00F66B86"/>
    <w:pPr>
      <w:spacing w:line="261" w:lineRule="atLeast"/>
    </w:pPr>
    <w:rPr>
      <w:rFonts w:ascii="AG DaxProRegular" w:hAnsi="AG DaxProRegular" w:cs="Times New Roman"/>
      <w:color w:val="auto"/>
    </w:rPr>
  </w:style>
  <w:style w:type="paragraph" w:customStyle="1" w:styleId="Pa43">
    <w:name w:val="Pa43"/>
    <w:basedOn w:val="Default"/>
    <w:next w:val="Default"/>
    <w:uiPriority w:val="99"/>
    <w:rsid w:val="00FF21F2"/>
    <w:pPr>
      <w:spacing w:line="241" w:lineRule="atLeast"/>
    </w:pPr>
    <w:rPr>
      <w:rFonts w:ascii="AG DaxProRegular" w:hAnsi="AG DaxProRegular" w:cs="Times New Roman"/>
      <w:color w:val="auto"/>
    </w:rPr>
  </w:style>
  <w:style w:type="character" w:customStyle="1" w:styleId="A13">
    <w:name w:val="A13"/>
    <w:uiPriority w:val="99"/>
    <w:rsid w:val="00FF21F2"/>
    <w:rPr>
      <w:rFonts w:cs="AG DaxProRegular"/>
      <w:color w:val="000000"/>
      <w:sz w:val="18"/>
      <w:szCs w:val="18"/>
    </w:rPr>
  </w:style>
  <w:style w:type="paragraph" w:customStyle="1" w:styleId="Pa44">
    <w:name w:val="Pa44"/>
    <w:basedOn w:val="Default"/>
    <w:next w:val="Default"/>
    <w:uiPriority w:val="99"/>
    <w:rsid w:val="00AC423A"/>
    <w:pPr>
      <w:spacing w:line="241" w:lineRule="atLeast"/>
    </w:pPr>
    <w:rPr>
      <w:rFonts w:ascii="AG DaxProBold" w:hAnsi="AG DaxProBold" w:cs="Times New Roman"/>
      <w:color w:val="auto"/>
    </w:rPr>
  </w:style>
  <w:style w:type="character" w:customStyle="1" w:styleId="A3">
    <w:name w:val="A3"/>
    <w:uiPriority w:val="99"/>
    <w:rsid w:val="00AC423A"/>
    <w:rPr>
      <w:rFonts w:cs="AG DaxProBold"/>
      <w:b/>
      <w:bCs/>
      <w:color w:val="000000"/>
      <w:sz w:val="16"/>
      <w:szCs w:val="16"/>
    </w:rPr>
  </w:style>
  <w:style w:type="paragraph" w:customStyle="1" w:styleId="Pa28">
    <w:name w:val="Pa28"/>
    <w:basedOn w:val="Default"/>
    <w:next w:val="Default"/>
    <w:uiPriority w:val="99"/>
    <w:rsid w:val="006019BC"/>
    <w:pPr>
      <w:spacing w:line="261" w:lineRule="atLeast"/>
    </w:pPr>
    <w:rPr>
      <w:rFonts w:ascii="AG DaxProRegular" w:hAnsi="AG DaxProRegular" w:cs="Times New Roman"/>
      <w:color w:val="auto"/>
    </w:rPr>
  </w:style>
  <w:style w:type="paragraph" w:customStyle="1" w:styleId="Pa4">
    <w:name w:val="Pa4"/>
    <w:basedOn w:val="Default"/>
    <w:next w:val="Default"/>
    <w:uiPriority w:val="99"/>
    <w:rsid w:val="00B352CA"/>
    <w:pPr>
      <w:spacing w:line="261" w:lineRule="atLeast"/>
    </w:pPr>
    <w:rPr>
      <w:rFonts w:ascii="Minion Pro" w:hAnsi="Minion Pro" w:cs="Times New Roman"/>
      <w:color w:val="auto"/>
    </w:rPr>
  </w:style>
  <w:style w:type="character" w:customStyle="1" w:styleId="A5">
    <w:name w:val="A5"/>
    <w:uiPriority w:val="99"/>
    <w:rsid w:val="00B352CA"/>
    <w:rPr>
      <w:rFonts w:cs="Minion Pro"/>
      <w:color w:val="000000"/>
      <w:sz w:val="21"/>
      <w:szCs w:val="21"/>
    </w:rPr>
  </w:style>
  <w:style w:type="character" w:customStyle="1" w:styleId="A11">
    <w:name w:val="A11"/>
    <w:uiPriority w:val="99"/>
    <w:rsid w:val="00554361"/>
    <w:rPr>
      <w:rFonts w:cs="AG DaxProRegular"/>
      <w:color w:val="000000"/>
      <w:sz w:val="12"/>
      <w:szCs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40750">
      <w:bodyDiv w:val="1"/>
      <w:marLeft w:val="0"/>
      <w:marRight w:val="0"/>
      <w:marTop w:val="0"/>
      <w:marBottom w:val="0"/>
      <w:divBdr>
        <w:top w:val="none" w:sz="0" w:space="0" w:color="auto"/>
        <w:left w:val="none" w:sz="0" w:space="0" w:color="auto"/>
        <w:bottom w:val="none" w:sz="0" w:space="0" w:color="auto"/>
        <w:right w:val="none" w:sz="0" w:space="0" w:color="auto"/>
      </w:divBdr>
    </w:div>
    <w:div w:id="205679239">
      <w:bodyDiv w:val="1"/>
      <w:marLeft w:val="0"/>
      <w:marRight w:val="0"/>
      <w:marTop w:val="0"/>
      <w:marBottom w:val="0"/>
      <w:divBdr>
        <w:top w:val="none" w:sz="0" w:space="0" w:color="auto"/>
        <w:left w:val="none" w:sz="0" w:space="0" w:color="auto"/>
        <w:bottom w:val="none" w:sz="0" w:space="0" w:color="auto"/>
        <w:right w:val="none" w:sz="0" w:space="0" w:color="auto"/>
      </w:divBdr>
    </w:div>
    <w:div w:id="579874240">
      <w:bodyDiv w:val="1"/>
      <w:marLeft w:val="0"/>
      <w:marRight w:val="0"/>
      <w:marTop w:val="0"/>
      <w:marBottom w:val="0"/>
      <w:divBdr>
        <w:top w:val="none" w:sz="0" w:space="0" w:color="auto"/>
        <w:left w:val="none" w:sz="0" w:space="0" w:color="auto"/>
        <w:bottom w:val="none" w:sz="0" w:space="0" w:color="auto"/>
        <w:right w:val="none" w:sz="0" w:space="0" w:color="auto"/>
      </w:divBdr>
    </w:div>
    <w:div w:id="941687572">
      <w:bodyDiv w:val="1"/>
      <w:marLeft w:val="0"/>
      <w:marRight w:val="0"/>
      <w:marTop w:val="0"/>
      <w:marBottom w:val="0"/>
      <w:divBdr>
        <w:top w:val="none" w:sz="0" w:space="0" w:color="auto"/>
        <w:left w:val="none" w:sz="0" w:space="0" w:color="auto"/>
        <w:bottom w:val="none" w:sz="0" w:space="0" w:color="auto"/>
        <w:right w:val="none" w:sz="0" w:space="0" w:color="auto"/>
      </w:divBdr>
    </w:div>
    <w:div w:id="1048191309">
      <w:bodyDiv w:val="1"/>
      <w:marLeft w:val="0"/>
      <w:marRight w:val="0"/>
      <w:marTop w:val="0"/>
      <w:marBottom w:val="0"/>
      <w:divBdr>
        <w:top w:val="none" w:sz="0" w:space="0" w:color="auto"/>
        <w:left w:val="none" w:sz="0" w:space="0" w:color="auto"/>
        <w:bottom w:val="none" w:sz="0" w:space="0" w:color="auto"/>
        <w:right w:val="none" w:sz="0" w:space="0" w:color="auto"/>
      </w:divBdr>
    </w:div>
    <w:div w:id="1352991407">
      <w:bodyDiv w:val="1"/>
      <w:marLeft w:val="0"/>
      <w:marRight w:val="0"/>
      <w:marTop w:val="0"/>
      <w:marBottom w:val="0"/>
      <w:divBdr>
        <w:top w:val="none" w:sz="0" w:space="0" w:color="auto"/>
        <w:left w:val="none" w:sz="0" w:space="0" w:color="auto"/>
        <w:bottom w:val="none" w:sz="0" w:space="0" w:color="auto"/>
        <w:right w:val="none" w:sz="0" w:space="0" w:color="auto"/>
      </w:divBdr>
    </w:div>
    <w:div w:id="1746100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glossaryDocument" Target="glossary/document.xml"/></Relationships>
</file>

<file path=word/_rels/footnotes.xml.rels><?xml version="1.0" encoding="UTF-8" standalone="yes"?>
<Relationships xmlns="http://schemas.openxmlformats.org/package/2006/relationships"><Relationship Id="rId13" Type="http://schemas.openxmlformats.org/officeDocument/2006/relationships/hyperlink" Target="https://eur-lex.europa.eu/legal-content/EN/TXT/?uri=CELEX%3A32015R0755" TargetMode="External"/><Relationship Id="rId18" Type="http://schemas.openxmlformats.org/officeDocument/2006/relationships/hyperlink" Target="https://eur-lex.europa.eu/legal-content/EN/TXT/?uri=celex:32015L2302" TargetMode="External"/><Relationship Id="rId26" Type="http://schemas.openxmlformats.org/officeDocument/2006/relationships/hyperlink" Target="https://europa.eu/youreurope/citizens/consumers/unfair-treatment/unfair-commercial-practices/index_en.htm" TargetMode="External"/><Relationship Id="rId39" Type="http://schemas.openxmlformats.org/officeDocument/2006/relationships/hyperlink" Target="https://eur-lex.europa.eu/legal-content/EN/TXT/?uri=CELEX%3A01999L0044-20111212" TargetMode="External"/><Relationship Id="rId21" Type="http://schemas.openxmlformats.org/officeDocument/2006/relationships/hyperlink" Target="https://ec.europa.eu/info/publications/factsheets-explaining-new-deal-consumers_en" TargetMode="External"/><Relationship Id="rId34" Type="http://schemas.openxmlformats.org/officeDocument/2006/relationships/hyperlink" Target="https://eur-lex.europa.eu/legal-content/EN/TXT/?qid=1566981122104&amp;uri=CELEX:52019XC0715(01)" TargetMode="External"/><Relationship Id="rId42" Type="http://schemas.openxmlformats.org/officeDocument/2006/relationships/hyperlink" Target="https://ec.europa.eu/info/law/law-topic/consumers/consumer-protection-cooperation-regulation_en" TargetMode="External"/><Relationship Id="rId47" Type="http://schemas.openxmlformats.org/officeDocument/2006/relationships/hyperlink" Target="https://thuvienphapluat.vn/van-ban/doanh-nghiep/Luat-canh-tranh-345182.aspx" TargetMode="External"/><Relationship Id="rId50" Type="http://schemas.openxmlformats.org/officeDocument/2006/relationships/hyperlink" Target="https://thuvienphapluat.vn/van-ban/Thuong-mai/Nghi-dinh-35-2020-ND-CP-huong-dan-Luat-Canh-tranh-398083.aspx" TargetMode="External"/><Relationship Id="rId55" Type="http://schemas.openxmlformats.org/officeDocument/2006/relationships/hyperlink" Target="https://eur-lex.europa.eu/legal-content/EN/ALL/?uri=CELEX%3A32010R0330" TargetMode="External"/><Relationship Id="rId63" Type="http://schemas.openxmlformats.org/officeDocument/2006/relationships/hyperlink" Target="https://eur-lex.europa.eu/legal-content/EN/ALL/?uri=CELEX%3A52008XC1022%2801%29" TargetMode="External"/><Relationship Id="rId7" Type="http://schemas.openxmlformats.org/officeDocument/2006/relationships/hyperlink" Target="https://www.wto.org/english/res_e/publications_e/ai17_e/anti_dumping_e.htm" TargetMode="External"/><Relationship Id="rId2" Type="http://schemas.openxmlformats.org/officeDocument/2006/relationships/hyperlink" Target="https://www.wto.org/english/res_e/publications_e/ai17_e/ai17_e.htm" TargetMode="External"/><Relationship Id="rId16" Type="http://schemas.openxmlformats.org/officeDocument/2006/relationships/hyperlink" Target="https://ec.europa.eu/info/law/law-topic/consumers/consumer-contract-law/consumer-rights-directive_en" TargetMode="External"/><Relationship Id="rId29" Type="http://schemas.openxmlformats.org/officeDocument/2006/relationships/hyperlink" Target="https://eur-lex.europa.eu/legal-content/EN/TXT/?uri=uriserv:OJ.C_.2019.323.01.0004.01.ENG&amp;toc=OJ:C:2019:323:TOC" TargetMode="External"/><Relationship Id="rId1" Type="http://schemas.openxmlformats.org/officeDocument/2006/relationships/hyperlink" Target="https://ec.europa.eu/trade/policy/accessing-markets/trade-defence/" TargetMode="External"/><Relationship Id="rId6" Type="http://schemas.openxmlformats.org/officeDocument/2006/relationships/hyperlink" Target="https://eur-lex.europa.eu/legal-content/EN/TXT/?uri=uriserv:OJ.C_.2014.164.01.0009.01.ENG" TargetMode="External"/><Relationship Id="rId11" Type="http://schemas.openxmlformats.org/officeDocument/2006/relationships/hyperlink" Target="https://www.wto.org/english/res_e/publications_e/ai17_e/subsidies_e.htm" TargetMode="External"/><Relationship Id="rId24" Type="http://schemas.openxmlformats.org/officeDocument/2006/relationships/hyperlink" Target="https://eur-lex.europa.eu/legal-content/EN/TXT/?uri=celex%3A32005L0029" TargetMode="External"/><Relationship Id="rId32" Type="http://schemas.openxmlformats.org/officeDocument/2006/relationships/hyperlink" Target="https://ec.europa.eu/info/node/4235/_en" TargetMode="External"/><Relationship Id="rId37" Type="http://schemas.openxmlformats.org/officeDocument/2006/relationships/hyperlink" Target="https://eur-lex.europa.eu/legal-content/EN/TXT/?uri=CELEX%3A52006DC0325" TargetMode="External"/><Relationship Id="rId40" Type="http://schemas.openxmlformats.org/officeDocument/2006/relationships/hyperlink" Target="https://eur-lex.europa.eu/legal-content/EN/TXT/?uri=uriserv:OJ.L_.2019.136.01.0028.01.ENG&amp;toc=OJ:L:2019:136:TOC" TargetMode="External"/><Relationship Id="rId45" Type="http://schemas.openxmlformats.org/officeDocument/2006/relationships/hyperlink" Target="https://ec.europa.eu/info/live-work-travel-eu/consumers/resolve-your-consumer-complaint/european-consumer-centres-network-ecc-net_en" TargetMode="External"/><Relationship Id="rId53" Type="http://schemas.openxmlformats.org/officeDocument/2006/relationships/hyperlink" Target="https://eur-lex.europa.eu/legal-content/EN/ALL/?uri=CELEX:52011XC0114(04)" TargetMode="External"/><Relationship Id="rId58" Type="http://schemas.openxmlformats.org/officeDocument/2006/relationships/hyperlink" Target="https://eur-lex.europa.eu/legal-content/EN/ALL/?uri=CELEX%3A32010R0330" TargetMode="External"/><Relationship Id="rId66" Type="http://schemas.openxmlformats.org/officeDocument/2006/relationships/hyperlink" Target="https://eur-lex.europa.eu/legal-content/EN/ALL/?uri=CELEX:52008XC0702(01)" TargetMode="External"/><Relationship Id="rId5" Type="http://schemas.openxmlformats.org/officeDocument/2006/relationships/hyperlink" Target="https://eur-lex.europa.eu/legal-content/EN/TXT/?uri=celex:32018R0825" TargetMode="External"/><Relationship Id="rId15" Type="http://schemas.openxmlformats.org/officeDocument/2006/relationships/hyperlink" Target="https://www.wto.org/english/res_e/publications_e/ai17_e/safeguards_e.htm" TargetMode="External"/><Relationship Id="rId23" Type="http://schemas.openxmlformats.org/officeDocument/2006/relationships/hyperlink" Target="https://ec.europa.eu/info/law/law-topic/consumers/unfair-commercial-practices-law/unfair-commercial-practices-directive_en" TargetMode="External"/><Relationship Id="rId28" Type="http://schemas.openxmlformats.org/officeDocument/2006/relationships/hyperlink" Target="https://eur-lex.europa.eu/legal-content/EN/TXT/?uri=celex%3A31993L0013" TargetMode="External"/><Relationship Id="rId36" Type="http://schemas.openxmlformats.org/officeDocument/2006/relationships/hyperlink" Target="https://eur-lex.europa.eu/eli/dir/1998/6/oj" TargetMode="External"/><Relationship Id="rId49" Type="http://schemas.openxmlformats.org/officeDocument/2006/relationships/hyperlink" Target="https://eur-lex.europa.eu/legal-content/EN/TXT/?uri=CELEX:02003R0001-20090701" TargetMode="External"/><Relationship Id="rId57" Type="http://schemas.openxmlformats.org/officeDocument/2006/relationships/hyperlink" Target="https://eur-lex.europa.eu/legal-content/EN/ALL/?uri=CELEX:32014R0316" TargetMode="External"/><Relationship Id="rId61" Type="http://schemas.openxmlformats.org/officeDocument/2006/relationships/hyperlink" Target="https://eur-lex.europa.eu/legal-content/EN/ALL/?uri=CELEX%3A52004XC0205%2802%29" TargetMode="External"/><Relationship Id="rId10" Type="http://schemas.openxmlformats.org/officeDocument/2006/relationships/hyperlink" Target="https://eur-lex.europa.eu/legal-content/EN/TXT/?uri=celex:32018R0825" TargetMode="External"/><Relationship Id="rId19" Type="http://schemas.openxmlformats.org/officeDocument/2006/relationships/hyperlink" Target="https://eur-lex.europa.eu/eli/dir/2019/2161/oj" TargetMode="External"/><Relationship Id="rId31" Type="http://schemas.openxmlformats.org/officeDocument/2006/relationships/hyperlink" Target="https://ec.europa.eu/info/law/law-topic/consumers/review-eu-consumer-law-new-deal-consumers_en" TargetMode="External"/><Relationship Id="rId44" Type="http://schemas.openxmlformats.org/officeDocument/2006/relationships/hyperlink" Target="https://ec.europa.eu/info/live-work-travel-eu/consumers_en" TargetMode="External"/><Relationship Id="rId52" Type="http://schemas.openxmlformats.org/officeDocument/2006/relationships/hyperlink" Target="https://eur-lex.europa.eu/legal-content/EN/ALL/?uri=CELEX%3A31997Y1209%2801%29" TargetMode="External"/><Relationship Id="rId60" Type="http://schemas.openxmlformats.org/officeDocument/2006/relationships/hyperlink" Target="https://eur-lex.europa.eu/legal-content/EN/ALL/?uri=CELEX:32004R0139" TargetMode="External"/><Relationship Id="rId65" Type="http://schemas.openxmlformats.org/officeDocument/2006/relationships/hyperlink" Target="https://eur-lex.europa.eu/legal-content/EN/ALL/?uri=CELEX:52006XC0901(01)" TargetMode="External"/><Relationship Id="rId4" Type="http://schemas.openxmlformats.org/officeDocument/2006/relationships/hyperlink" Target="https://eur-lex.europa.eu/legal-content/EN/TXT/?uri=CELEX:32017R2321" TargetMode="External"/><Relationship Id="rId9" Type="http://schemas.openxmlformats.org/officeDocument/2006/relationships/hyperlink" Target="https://eur-lex.europa.eu/legal-content/EN/TXT/?uri=CELEX:32017R2321" TargetMode="External"/><Relationship Id="rId14" Type="http://schemas.openxmlformats.org/officeDocument/2006/relationships/hyperlink" Target="https://eur-lex.europa.eu/legal-content/EN/TXT/?uri=celex:32017R0749" TargetMode="External"/><Relationship Id="rId22" Type="http://schemas.openxmlformats.org/officeDocument/2006/relationships/hyperlink" Target="https://ec.europa.eu/commission/presscorner/detail/en/MEMO_18_2821" TargetMode="External"/><Relationship Id="rId27" Type="http://schemas.openxmlformats.org/officeDocument/2006/relationships/hyperlink" Target="https://ec.europa.eu/info/law/law-topic/consumers/consumer-contract-law/unfair-contract-terms-directive_en" TargetMode="External"/><Relationship Id="rId30" Type="http://schemas.openxmlformats.org/officeDocument/2006/relationships/hyperlink" Target="https://europa.eu/youreurope/citizens/consumers/unfair-treatment/unfair-contract-terms/index_en.htm" TargetMode="External"/><Relationship Id="rId35" Type="http://schemas.openxmlformats.org/officeDocument/2006/relationships/hyperlink" Target="https://ec.europa.eu/info/law/law-topic/consumers/consumer-contract-law/price-indication-directive_en" TargetMode="External"/><Relationship Id="rId43" Type="http://schemas.openxmlformats.org/officeDocument/2006/relationships/hyperlink" Target="https://eur-lex.europa.eu/eli/reg/2017/2394/oj" TargetMode="External"/><Relationship Id="rId48" Type="http://schemas.openxmlformats.org/officeDocument/2006/relationships/hyperlink" Target="https://eur-lex.europa.eu/legal-content/EN/TXT/?uri=CELEX:02004R0773-20150806" TargetMode="External"/><Relationship Id="rId56" Type="http://schemas.openxmlformats.org/officeDocument/2006/relationships/hyperlink" Target="https://eur-lex.europa.eu/legal-content/EN/TXT/?uri=CELEX%3A52014XC0328%2801%29" TargetMode="External"/><Relationship Id="rId64" Type="http://schemas.openxmlformats.org/officeDocument/2006/relationships/hyperlink" Target="https://eur-lex.europa.eu/legal-content/EN/ALL/?uri=CELEX%3A52009XC0224%2801%29" TargetMode="External"/><Relationship Id="rId8" Type="http://schemas.openxmlformats.org/officeDocument/2006/relationships/hyperlink" Target="https://eur-lex.europa.eu/legal-content/EN/TXT/?uri=CELEX:32016R1037" TargetMode="External"/><Relationship Id="rId51" Type="http://schemas.openxmlformats.org/officeDocument/2006/relationships/hyperlink" Target="https://thuvienphapluat.vn/van-ban/Thuong-mai/Nghi-dinh-75-2019-ND-CP-quy-dinh-ve-xu-phat-vi-pham-hanh-chinh-trong-linh-vuc-canh-tranh-425023.aspx" TargetMode="External"/><Relationship Id="rId3" Type="http://schemas.openxmlformats.org/officeDocument/2006/relationships/hyperlink" Target="https://eur-lex.europa.eu/legal-content/EN/TXT/?uri=CELEX:32016R1036" TargetMode="External"/><Relationship Id="rId12" Type="http://schemas.openxmlformats.org/officeDocument/2006/relationships/hyperlink" Target="https://eur-lex.europa.eu/legal-content/EN/TXT/?uri=CELEX%3A32015R0478" TargetMode="External"/><Relationship Id="rId17" Type="http://schemas.openxmlformats.org/officeDocument/2006/relationships/hyperlink" Target="https://eur-lex.europa.eu/eli/dir/2011/83/oj" TargetMode="External"/><Relationship Id="rId25" Type="http://schemas.openxmlformats.org/officeDocument/2006/relationships/hyperlink" Target="https://eur-lex.europa.eu/legal-content/EN/TXT/?uri=CELEX%3A52016SC0163" TargetMode="External"/><Relationship Id="rId33" Type="http://schemas.openxmlformats.org/officeDocument/2006/relationships/hyperlink" Target="https://eur-lex.europa.eu/legal-content/EN/TXT/?uri=CELEX:02009L0022-20181203" TargetMode="External"/><Relationship Id="rId38" Type="http://schemas.openxmlformats.org/officeDocument/2006/relationships/hyperlink" Target="https://europa.eu/youreurope/citizens/consumers/unfair-treatment/unfair-pricing/index_en.htm" TargetMode="External"/><Relationship Id="rId46" Type="http://schemas.openxmlformats.org/officeDocument/2006/relationships/hyperlink" Target="https://eur-lex.europa.eu/legal-content/EN/TXT/?uri=celex%3A12012E%2FTXT" TargetMode="External"/><Relationship Id="rId59" Type="http://schemas.openxmlformats.org/officeDocument/2006/relationships/hyperlink" Target="https://eur-lex.europa.eu/legal-content/en/ALL/?uri=CELEX%3A32010R1218" TargetMode="External"/><Relationship Id="rId67" Type="http://schemas.openxmlformats.org/officeDocument/2006/relationships/hyperlink" Target="https://eur-lex.europa.eu/legal-content/EN/ALL/?uri=CELEX:52008XC0702(01)" TargetMode="External"/><Relationship Id="rId20" Type="http://schemas.openxmlformats.org/officeDocument/2006/relationships/hyperlink" Target="https://eur-lex.europa.eu/legal-content/EN/TXT/?qid=1573718927782&amp;uri=CELEX%3A52018DC0183" TargetMode="External"/><Relationship Id="rId41" Type="http://schemas.openxmlformats.org/officeDocument/2006/relationships/hyperlink" Target="https://europa.eu/youreurope/citizens/consumers/shopping/guarantees-returns/index_en.htm" TargetMode="External"/><Relationship Id="rId54" Type="http://schemas.openxmlformats.org/officeDocument/2006/relationships/hyperlink" Target="https://eur-lex.europa.eu/legal-content/EN/TXT/?uri=CELEX%3A52010XC0519%2804%29" TargetMode="External"/><Relationship Id="rId62" Type="http://schemas.openxmlformats.org/officeDocument/2006/relationships/hyperlink" Target="https://eur-lex.europa.eu/legal-content/EN/TXT/?uri=CELEX%3A52008XC1018%2803%29"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37F735D3CF4D4AD2BE4B162899F3F1F9"/>
        <w:category>
          <w:name w:val="General"/>
          <w:gallery w:val="placeholder"/>
        </w:category>
        <w:types>
          <w:type w:val="bbPlcHdr"/>
        </w:types>
        <w:behaviors>
          <w:behavior w:val="content"/>
        </w:behaviors>
        <w:guid w:val="{C6CC0B1F-71DD-4770-BE87-1E1D5945E6F3}"/>
      </w:docPartPr>
      <w:docPartBody>
        <w:p w:rsidR="00281EA7" w:rsidRDefault="00273F60" w:rsidP="00273F60">
          <w:pPr>
            <w:pStyle w:val="37F735D3CF4D4AD2BE4B162899F3F1F9"/>
          </w:pPr>
          <w:r>
            <w:rPr>
              <w:rFonts w:asciiTheme="majorHAnsi" w:eastAsiaTheme="majorEastAsia" w:hAnsiTheme="majorHAnsi" w:cstheme="majorBidi"/>
              <w:color w:val="365F91" w:themeColor="accent1" w:themeShade="BF"/>
              <w:sz w:val="32"/>
              <w:szCs w:val="32"/>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Myriad Pro Light">
    <w:altName w:val="Myriad Pro Light"/>
    <w:panose1 w:val="00000000000000000000"/>
    <w:charset w:val="00"/>
    <w:family w:val="swiss"/>
    <w:notTrueType/>
    <w:pitch w:val="variable"/>
    <w:sig w:usb0="20000287" w:usb1="00000001" w:usb2="00000000" w:usb3="00000000" w:csb0="0000019F" w:csb1="00000000"/>
  </w:font>
  <w:font w:name="AG DaxProRegular">
    <w:altName w:val="Calibri"/>
    <w:panose1 w:val="00000000000000000000"/>
    <w:charset w:val="00"/>
    <w:family w:val="swiss"/>
    <w:notTrueType/>
    <w:pitch w:val="default"/>
    <w:sig w:usb0="20000003" w:usb1="00000000" w:usb2="00000000" w:usb3="00000000" w:csb0="00000101" w:csb1="00000000"/>
  </w:font>
  <w:font w:name="AG DaxProBold">
    <w:altName w:val="Calibri"/>
    <w:panose1 w:val="00000000000000000000"/>
    <w:charset w:val="00"/>
    <w:family w:val="swiss"/>
    <w:notTrueType/>
    <w:pitch w:val="default"/>
    <w:sig w:usb0="00000003" w:usb1="00000000" w:usb2="00000000" w:usb3="00000000" w:csb0="00000001" w:csb1="00000000"/>
  </w:font>
  <w:font w:name="Minion Pro">
    <w:altName w:val="Minion Pro"/>
    <w:panose1 w:val="00000000000000000000"/>
    <w:charset w:val="00"/>
    <w:family w:val="roman"/>
    <w:notTrueType/>
    <w:pitch w:val="variable"/>
    <w:sig w:usb0="60000287" w:usb1="00000001"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3F60"/>
    <w:rsid w:val="000311A4"/>
    <w:rsid w:val="00217139"/>
    <w:rsid w:val="00273F60"/>
    <w:rsid w:val="00281EA7"/>
    <w:rsid w:val="002F3F51"/>
    <w:rsid w:val="003460BF"/>
    <w:rsid w:val="003714D5"/>
    <w:rsid w:val="003A54AD"/>
    <w:rsid w:val="00596D19"/>
    <w:rsid w:val="005B2450"/>
    <w:rsid w:val="005C6A1A"/>
    <w:rsid w:val="005D1995"/>
    <w:rsid w:val="00674747"/>
    <w:rsid w:val="0072393F"/>
    <w:rsid w:val="0075677B"/>
    <w:rsid w:val="007C4E63"/>
    <w:rsid w:val="00805A7D"/>
    <w:rsid w:val="0083622B"/>
    <w:rsid w:val="008A2970"/>
    <w:rsid w:val="009056D1"/>
    <w:rsid w:val="00973129"/>
    <w:rsid w:val="009E7589"/>
    <w:rsid w:val="00A01BB0"/>
    <w:rsid w:val="00A5335A"/>
    <w:rsid w:val="00AD29CD"/>
    <w:rsid w:val="00B77C25"/>
    <w:rsid w:val="00B87E51"/>
    <w:rsid w:val="00BB4BBF"/>
    <w:rsid w:val="00BC414B"/>
    <w:rsid w:val="00CD12DD"/>
    <w:rsid w:val="00CF11A0"/>
    <w:rsid w:val="00D72D81"/>
    <w:rsid w:val="00D8370B"/>
    <w:rsid w:val="00DE332F"/>
    <w:rsid w:val="00F14ECD"/>
    <w:rsid w:val="00F95D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D773DD4B9B542A7A2CB333EF59C1831">
    <w:name w:val="3D773DD4B9B542A7A2CB333EF59C1831"/>
    <w:rsid w:val="00273F60"/>
  </w:style>
  <w:style w:type="paragraph" w:customStyle="1" w:styleId="895010411969455E9B9189812AC113FF">
    <w:name w:val="895010411969455E9B9189812AC113FF"/>
    <w:rsid w:val="00273F60"/>
  </w:style>
  <w:style w:type="paragraph" w:customStyle="1" w:styleId="37F735D3CF4D4AD2BE4B162899F3F1F9">
    <w:name w:val="37F735D3CF4D4AD2BE4B162899F3F1F9"/>
    <w:rsid w:val="00273F60"/>
  </w:style>
  <w:style w:type="character" w:styleId="PlaceholderText">
    <w:name w:val="Placeholder Text"/>
    <w:basedOn w:val="DefaultParagraphFont"/>
    <w:uiPriority w:val="99"/>
    <w:semiHidden/>
    <w:rsid w:val="00273F60"/>
    <w:rPr>
      <w:color w:val="808080"/>
    </w:rPr>
  </w:style>
  <w:style w:type="paragraph" w:customStyle="1" w:styleId="147680F5620D4747A0C22533BEF58CB2">
    <w:name w:val="147680F5620D4747A0C22533BEF58CB2"/>
    <w:rsid w:val="00273F60"/>
  </w:style>
  <w:style w:type="paragraph" w:customStyle="1" w:styleId="94088C1040304CECA1F98D3E4D5085F9">
    <w:name w:val="94088C1040304CECA1F98D3E4D5085F9"/>
    <w:rsid w:val="00273F60"/>
  </w:style>
  <w:style w:type="paragraph" w:customStyle="1" w:styleId="6FF5DF79C6B546B4B6FC1EE037ADCA20">
    <w:name w:val="6FF5DF79C6B546B4B6FC1EE037ADCA20"/>
    <w:rsid w:val="00273F60"/>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D773DD4B9B542A7A2CB333EF59C1831">
    <w:name w:val="3D773DD4B9B542A7A2CB333EF59C1831"/>
    <w:rsid w:val="00273F60"/>
  </w:style>
  <w:style w:type="paragraph" w:customStyle="1" w:styleId="895010411969455E9B9189812AC113FF">
    <w:name w:val="895010411969455E9B9189812AC113FF"/>
    <w:rsid w:val="00273F60"/>
  </w:style>
  <w:style w:type="paragraph" w:customStyle="1" w:styleId="37F735D3CF4D4AD2BE4B162899F3F1F9">
    <w:name w:val="37F735D3CF4D4AD2BE4B162899F3F1F9"/>
    <w:rsid w:val="00273F60"/>
  </w:style>
  <w:style w:type="character" w:styleId="PlaceholderText">
    <w:name w:val="Placeholder Text"/>
    <w:basedOn w:val="DefaultParagraphFont"/>
    <w:uiPriority w:val="99"/>
    <w:semiHidden/>
    <w:rsid w:val="00273F60"/>
    <w:rPr>
      <w:color w:val="808080"/>
    </w:rPr>
  </w:style>
  <w:style w:type="paragraph" w:customStyle="1" w:styleId="147680F5620D4747A0C22533BEF58CB2">
    <w:name w:val="147680F5620D4747A0C22533BEF58CB2"/>
    <w:rsid w:val="00273F60"/>
  </w:style>
  <w:style w:type="paragraph" w:customStyle="1" w:styleId="94088C1040304CECA1F98D3E4D5085F9">
    <w:name w:val="94088C1040304CECA1F98D3E4D5085F9"/>
    <w:rsid w:val="00273F60"/>
  </w:style>
  <w:style w:type="paragraph" w:customStyle="1" w:styleId="6FF5DF79C6B546B4B6FC1EE037ADCA20">
    <w:name w:val="6FF5DF79C6B546B4B6FC1EE037ADCA20"/>
    <w:rsid w:val="00273F6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EFE335D-0F96-42E3-9CA0-9F2BD4BCBD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2408</Words>
  <Characters>13728</Characters>
  <Application>Microsoft Office Word</Application>
  <DocSecurity>0</DocSecurity>
  <Lines>114</Lines>
  <Paragraphs>32</Paragraphs>
  <ScaleCrop>false</ScaleCrop>
  <HeadingPairs>
    <vt:vector size="6" baseType="variant">
      <vt:variant>
        <vt:lpstr>Title</vt:lpstr>
      </vt:variant>
      <vt:variant>
        <vt:i4>1</vt:i4>
      </vt:variant>
      <vt:variant>
        <vt:lpstr>Headings</vt:lpstr>
      </vt:variant>
      <vt:variant>
        <vt:i4>3</vt:i4>
      </vt:variant>
      <vt:variant>
        <vt:lpstr>Titolo</vt:lpstr>
      </vt:variant>
      <vt:variant>
        <vt:i4>1</vt:i4>
      </vt:variant>
    </vt:vector>
  </HeadingPairs>
  <TitlesOfParts>
    <vt:vector size="5" baseType="lpstr">
      <vt:lpstr>CHÍNH SÁCH THƯƠNG MẠI CỦA LIÊN MINH CHÂU ÂU</vt:lpstr>
      <vt:lpstr>qUY ĐỊNH VỀ PHÒNG VỆ THƯƠNG MẠI </vt:lpstr>
      <vt:lpstr>PHÁP LUẬT VỀ BẢO VỆ NGƯỜI TIÊU DÙNG</vt:lpstr>
      <vt:lpstr>PHÁP LUẬT VỀ CẠNH TRANH</vt:lpstr>
      <vt:lpstr>[W/DossierPH/SNEC010/RequêteArbitrage</vt:lpstr>
    </vt:vector>
  </TitlesOfParts>
  <Company>HVDB</Company>
  <LinksUpToDate>false</LinksUpToDate>
  <CharactersWithSpaces>16104</CharactersWithSpaces>
  <SharedDoc>false</SharedDoc>
  <HLinks>
    <vt:vector size="90" baseType="variant">
      <vt:variant>
        <vt:i4>8126490</vt:i4>
      </vt:variant>
      <vt:variant>
        <vt:i4>90</vt:i4>
      </vt:variant>
      <vt:variant>
        <vt:i4>0</vt:i4>
      </vt:variant>
      <vt:variant>
        <vt:i4>5</vt:i4>
      </vt:variant>
      <vt:variant>
        <vt:lpwstr>mailto:pascal.hollander@hvdb.com</vt:lpwstr>
      </vt:variant>
      <vt:variant>
        <vt:lpwstr/>
      </vt:variant>
      <vt:variant>
        <vt:i4>1900606</vt:i4>
      </vt:variant>
      <vt:variant>
        <vt:i4>82</vt:i4>
      </vt:variant>
      <vt:variant>
        <vt:i4>0</vt:i4>
      </vt:variant>
      <vt:variant>
        <vt:i4>5</vt:i4>
      </vt:variant>
      <vt:variant>
        <vt:lpwstr/>
      </vt:variant>
      <vt:variant>
        <vt:lpwstr>_Toc251857805</vt:lpwstr>
      </vt:variant>
      <vt:variant>
        <vt:i4>1900606</vt:i4>
      </vt:variant>
      <vt:variant>
        <vt:i4>76</vt:i4>
      </vt:variant>
      <vt:variant>
        <vt:i4>0</vt:i4>
      </vt:variant>
      <vt:variant>
        <vt:i4>5</vt:i4>
      </vt:variant>
      <vt:variant>
        <vt:lpwstr/>
      </vt:variant>
      <vt:variant>
        <vt:lpwstr>_Toc251857804</vt:lpwstr>
      </vt:variant>
      <vt:variant>
        <vt:i4>1900606</vt:i4>
      </vt:variant>
      <vt:variant>
        <vt:i4>70</vt:i4>
      </vt:variant>
      <vt:variant>
        <vt:i4>0</vt:i4>
      </vt:variant>
      <vt:variant>
        <vt:i4>5</vt:i4>
      </vt:variant>
      <vt:variant>
        <vt:lpwstr/>
      </vt:variant>
      <vt:variant>
        <vt:lpwstr>_Toc251857803</vt:lpwstr>
      </vt:variant>
      <vt:variant>
        <vt:i4>1900606</vt:i4>
      </vt:variant>
      <vt:variant>
        <vt:i4>64</vt:i4>
      </vt:variant>
      <vt:variant>
        <vt:i4>0</vt:i4>
      </vt:variant>
      <vt:variant>
        <vt:i4>5</vt:i4>
      </vt:variant>
      <vt:variant>
        <vt:lpwstr/>
      </vt:variant>
      <vt:variant>
        <vt:lpwstr>_Toc251857802</vt:lpwstr>
      </vt:variant>
      <vt:variant>
        <vt:i4>1900606</vt:i4>
      </vt:variant>
      <vt:variant>
        <vt:i4>58</vt:i4>
      </vt:variant>
      <vt:variant>
        <vt:i4>0</vt:i4>
      </vt:variant>
      <vt:variant>
        <vt:i4>5</vt:i4>
      </vt:variant>
      <vt:variant>
        <vt:lpwstr/>
      </vt:variant>
      <vt:variant>
        <vt:lpwstr>_Toc251857801</vt:lpwstr>
      </vt:variant>
      <vt:variant>
        <vt:i4>1900606</vt:i4>
      </vt:variant>
      <vt:variant>
        <vt:i4>52</vt:i4>
      </vt:variant>
      <vt:variant>
        <vt:i4>0</vt:i4>
      </vt:variant>
      <vt:variant>
        <vt:i4>5</vt:i4>
      </vt:variant>
      <vt:variant>
        <vt:lpwstr/>
      </vt:variant>
      <vt:variant>
        <vt:lpwstr>_Toc251857800</vt:lpwstr>
      </vt:variant>
      <vt:variant>
        <vt:i4>1310769</vt:i4>
      </vt:variant>
      <vt:variant>
        <vt:i4>46</vt:i4>
      </vt:variant>
      <vt:variant>
        <vt:i4>0</vt:i4>
      </vt:variant>
      <vt:variant>
        <vt:i4>5</vt:i4>
      </vt:variant>
      <vt:variant>
        <vt:lpwstr/>
      </vt:variant>
      <vt:variant>
        <vt:lpwstr>_Toc251857799</vt:lpwstr>
      </vt:variant>
      <vt:variant>
        <vt:i4>1310769</vt:i4>
      </vt:variant>
      <vt:variant>
        <vt:i4>40</vt:i4>
      </vt:variant>
      <vt:variant>
        <vt:i4>0</vt:i4>
      </vt:variant>
      <vt:variant>
        <vt:i4>5</vt:i4>
      </vt:variant>
      <vt:variant>
        <vt:lpwstr/>
      </vt:variant>
      <vt:variant>
        <vt:lpwstr>_Toc251857798</vt:lpwstr>
      </vt:variant>
      <vt:variant>
        <vt:i4>1310769</vt:i4>
      </vt:variant>
      <vt:variant>
        <vt:i4>34</vt:i4>
      </vt:variant>
      <vt:variant>
        <vt:i4>0</vt:i4>
      </vt:variant>
      <vt:variant>
        <vt:i4>5</vt:i4>
      </vt:variant>
      <vt:variant>
        <vt:lpwstr/>
      </vt:variant>
      <vt:variant>
        <vt:lpwstr>_Toc251857797</vt:lpwstr>
      </vt:variant>
      <vt:variant>
        <vt:i4>1310769</vt:i4>
      </vt:variant>
      <vt:variant>
        <vt:i4>28</vt:i4>
      </vt:variant>
      <vt:variant>
        <vt:i4>0</vt:i4>
      </vt:variant>
      <vt:variant>
        <vt:i4>5</vt:i4>
      </vt:variant>
      <vt:variant>
        <vt:lpwstr/>
      </vt:variant>
      <vt:variant>
        <vt:lpwstr>_Toc251857796</vt:lpwstr>
      </vt:variant>
      <vt:variant>
        <vt:i4>1310769</vt:i4>
      </vt:variant>
      <vt:variant>
        <vt:i4>22</vt:i4>
      </vt:variant>
      <vt:variant>
        <vt:i4>0</vt:i4>
      </vt:variant>
      <vt:variant>
        <vt:i4>5</vt:i4>
      </vt:variant>
      <vt:variant>
        <vt:lpwstr/>
      </vt:variant>
      <vt:variant>
        <vt:lpwstr>_Toc251857795</vt:lpwstr>
      </vt:variant>
      <vt:variant>
        <vt:i4>1310769</vt:i4>
      </vt:variant>
      <vt:variant>
        <vt:i4>16</vt:i4>
      </vt:variant>
      <vt:variant>
        <vt:i4>0</vt:i4>
      </vt:variant>
      <vt:variant>
        <vt:i4>5</vt:i4>
      </vt:variant>
      <vt:variant>
        <vt:lpwstr/>
      </vt:variant>
      <vt:variant>
        <vt:lpwstr>_Toc251857794</vt:lpwstr>
      </vt:variant>
      <vt:variant>
        <vt:i4>1310769</vt:i4>
      </vt:variant>
      <vt:variant>
        <vt:i4>10</vt:i4>
      </vt:variant>
      <vt:variant>
        <vt:i4>0</vt:i4>
      </vt:variant>
      <vt:variant>
        <vt:i4>5</vt:i4>
      </vt:variant>
      <vt:variant>
        <vt:lpwstr/>
      </vt:variant>
      <vt:variant>
        <vt:lpwstr>_Toc251857793</vt:lpwstr>
      </vt:variant>
      <vt:variant>
        <vt:i4>1310769</vt:i4>
      </vt:variant>
      <vt:variant>
        <vt:i4>4</vt:i4>
      </vt:variant>
      <vt:variant>
        <vt:i4>0</vt:i4>
      </vt:variant>
      <vt:variant>
        <vt:i4>5</vt:i4>
      </vt:variant>
      <vt:variant>
        <vt:lpwstr/>
      </vt:variant>
      <vt:variant>
        <vt:lpwstr>_Toc251857792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CHÍNH SÁCH THƯƠNG MẠI CỦA LIÊN MINH CHÂU ÂU</dc:title>
  <dc:creator>NGUYEN DUC ANH</dc:creator>
  <cp:lastModifiedBy>HP</cp:lastModifiedBy>
  <cp:revision>4</cp:revision>
  <cp:lastPrinted>2020-04-09T16:26:00Z</cp:lastPrinted>
  <dcterms:created xsi:type="dcterms:W3CDTF">2020-04-22T16:13:00Z</dcterms:created>
  <dcterms:modified xsi:type="dcterms:W3CDTF">2020-08-12T09:42:00Z</dcterms:modified>
</cp:coreProperties>
</file>