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XII. Chính</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sách</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quản lý</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t</w:t>
      </w:r>
      <w:r>
        <w:rPr>
          <w:rFonts w:ascii="Times New Roman" w:eastAsia="Times New Roman" w:hAnsi="Times New Roman"/>
          <w:b/>
          <w:bCs/>
          <w:spacing w:val="-5"/>
          <w:sz w:val="28"/>
          <w:szCs w:val="28"/>
          <w:lang w:val="vi-VN"/>
        </w:rPr>
        <w:t>r</w:t>
      </w:r>
      <w:r>
        <w:rPr>
          <w:rFonts w:ascii="Times New Roman" w:eastAsia="Times New Roman" w:hAnsi="Times New Roman"/>
          <w:b/>
          <w:bCs/>
          <w:sz w:val="28"/>
          <w:szCs w:val="28"/>
          <w:lang w:val="vi-VN"/>
        </w:rPr>
        <w:t>ong</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các</w:t>
      </w:r>
      <w:r>
        <w:rPr>
          <w:rFonts w:ascii="Times New Roman" w:eastAsia="Times New Roman" w:hAnsi="Times New Roman"/>
          <w:b/>
          <w:bCs/>
          <w:spacing w:val="-2"/>
          <w:sz w:val="28"/>
          <w:szCs w:val="28"/>
          <w:lang w:val="vi-VN"/>
        </w:rPr>
        <w:t xml:space="preserve"> </w:t>
      </w:r>
      <w:r>
        <w:rPr>
          <w:rFonts w:ascii="Times New Roman" w:eastAsia="Times New Roman" w:hAnsi="Times New Roman"/>
          <w:b/>
          <w:bCs/>
          <w:sz w:val="28"/>
          <w:szCs w:val="28"/>
          <w:lang w:val="vi-VN"/>
        </w:rPr>
        <w:t>lĩnh</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vực</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kinh</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tế</w:t>
      </w:r>
      <w:r>
        <w:rPr>
          <w:rFonts w:ascii="Times New Roman" w:eastAsia="Times New Roman" w:hAnsi="Times New Roman"/>
          <w:b/>
          <w:bCs/>
          <w:spacing w:val="-1"/>
          <w:sz w:val="28"/>
          <w:szCs w:val="28"/>
          <w:lang w:val="vi-VN"/>
        </w:rPr>
        <w:t xml:space="preserve"> </w:t>
      </w:r>
      <w:r>
        <w:rPr>
          <w:rFonts w:ascii="Times New Roman" w:eastAsia="Times New Roman" w:hAnsi="Times New Roman"/>
          <w:b/>
          <w:bCs/>
          <w:sz w:val="28"/>
          <w:szCs w:val="28"/>
          <w:lang w:val="vi-VN"/>
        </w:rPr>
        <w:t>số:</w:t>
      </w:r>
    </w:p>
    <w:p w:rsidR="004B37BB" w:rsidRDefault="004B37BB" w:rsidP="004B37BB">
      <w:pPr>
        <w:tabs>
          <w:tab w:val="left" w:pos="660"/>
        </w:tabs>
        <w:spacing w:before="60" w:after="120" w:line="360" w:lineRule="exact"/>
        <w:ind w:right="-14" w:firstLine="720"/>
        <w:jc w:val="both"/>
        <w:rPr>
          <w:rFonts w:ascii="Times New Roman" w:eastAsia="Times New Roman" w:hAnsi="Times New Roman"/>
          <w:bCs/>
          <w:sz w:val="28"/>
          <w:szCs w:val="28"/>
          <w:lang w:val="vi-VN"/>
        </w:rPr>
      </w:pPr>
      <w:r>
        <w:rPr>
          <w:rFonts w:ascii="Times New Roman" w:eastAsia="Times New Roman" w:hAnsi="Times New Roman"/>
          <w:bCs/>
          <w:sz w:val="28"/>
          <w:szCs w:val="28"/>
          <w:lang w:val="vi-VN"/>
        </w:rPr>
        <w:t>EU xác định kinh tế số là một trong ưu tiên chiến lược. EU xác định sự suy giảm nhanh chóng về chi phí điện toán, sự xuất hiện của Internet như một công cụ truyền thông, sự phát triển nhanh chóng của Internet di động, sự phát triển của các ứng dụng hàng ngày và vai trò ngày càng tăng của các mạng xã hội và nền tảng thương mại dựa trên internet, đã ảnh hưởng lớn đến hoạt động của nền kinh tế và ảnh hưởng sâu sắc đến các doanh nghiệp, tổ chức công cộng và đời sống cá nhân. Các công nghệ kỹ thuật số mới nổi như Internet of Things, AI trí tuệ nhân tạo và Big Data, sẽ dẫn đến sự đổi mới đột phá hơn nữa, và tạo ra những cơ hội và thách thức mới.</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1.</w:t>
      </w:r>
      <w:r>
        <w:rPr>
          <w:rFonts w:ascii="Times New Roman" w:eastAsia="Times New Roman" w:hAnsi="Times New Roman"/>
          <w:bCs/>
          <w:sz w:val="28"/>
          <w:szCs w:val="28"/>
          <w:lang w:val="vi-VN"/>
        </w:rPr>
        <w:t xml:space="preserve"> Số hóa đã mang lại nhiều lợi ích cho người tiêu dùng và doanh nghiệp, nhưng cũng tạo ra các vấn đề mới khiến các nhà hoạch định chính sách đang vật lộn để ứng phó với những thách thức mới này. Trung tâm nghiên cứu chung (Joint Research Centre – JRC) đang điều tra làm thế nào cuộc cách mạng kỹ thuật số và Công nghệ thông tin và truyền thông (CNTT-TT) đang diễn ra đang ảnh hưởng đến nền kinh tế và những vấn đề chính sách dẫn đến trong các lĩnh vực sau:</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 xml:space="preserve">Trí thông minh nhân tạo (AI): </w:t>
      </w:r>
      <w:r>
        <w:rPr>
          <w:rFonts w:ascii="Times New Roman" w:eastAsia="Times New Roman" w:hAnsi="Times New Roman"/>
          <w:bCs/>
          <w:sz w:val="28"/>
          <w:szCs w:val="28"/>
          <w:lang w:val="vi-VN"/>
        </w:rPr>
        <w:t>JRC sẽ theo dõi sự phát triển, tác động AI tới EU (AI watch), là một phần của Chiến lược một thị trường số (</w:t>
      </w:r>
      <w:hyperlink r:id="rId5" w:history="1">
        <w:r>
          <w:rPr>
            <w:rStyle w:val="Hyperlink"/>
            <w:rFonts w:ascii="Times New Roman" w:hAnsi="Times New Roman"/>
            <w:color w:val="0065A2"/>
            <w:sz w:val="28"/>
            <w:szCs w:val="28"/>
            <w:shd w:val="clear" w:color="auto" w:fill="FFFFFF"/>
            <w:lang w:val="vi-VN"/>
          </w:rPr>
          <w:t>Digital Single Market Strategy</w:t>
        </w:r>
      </w:hyperlink>
      <w:r>
        <w:rPr>
          <w:rFonts w:ascii="Times New Roman" w:hAnsi="Times New Roman"/>
          <w:sz w:val="28"/>
          <w:szCs w:val="28"/>
          <w:lang w:val="vi-VN"/>
        </w:rPr>
        <w:t xml:space="preserve">) </w:t>
      </w:r>
      <w:r>
        <w:rPr>
          <w:rFonts w:ascii="Times New Roman" w:eastAsia="Times New Roman" w:hAnsi="Times New Roman"/>
          <w:bCs/>
          <w:sz w:val="28"/>
          <w:szCs w:val="28"/>
          <w:lang w:val="vi-VN"/>
        </w:rPr>
        <w:t>. Tháng 4 năm 2018, Ủy ban châu Âu đã đưa ra cách tiếp cận của châu Âu đối với trí tuệ nhân tạo trong giao tiếp AI (COM (2018) 237). Thông tin liên lạc được dựa trên ba trụ cột: Đi trước sự phát triển công nghệ và khuyến khích sự phát triển của khu vực công và tư nhân; Chuẩn bị cho những thay đổi kinh tế xã hội do AI mang lại; Đảm bảo khuôn khổ đạo đức và pháp lý</w:t>
      </w:r>
      <w:r>
        <w:rPr>
          <w:rFonts w:ascii="Times New Roman" w:eastAsia="Times New Roman" w:hAnsi="Times New Roman"/>
          <w:b/>
          <w:bCs/>
          <w:sz w:val="28"/>
          <w:szCs w:val="28"/>
          <w:lang w:val="vi-VN"/>
        </w:rPr>
        <w:t xml:space="preserve">. </w:t>
      </w:r>
      <w:r>
        <w:rPr>
          <w:rFonts w:ascii="Times New Roman" w:eastAsia="Times New Roman" w:hAnsi="Times New Roman"/>
          <w:bCs/>
          <w:sz w:val="28"/>
          <w:szCs w:val="28"/>
          <w:lang w:val="vi-VN"/>
        </w:rPr>
        <w:t xml:space="preserve">Ngày 7 tháng 12 năm 2018, Ủy ban Châu Âu và các quốc gia thành viên đã công bố Kế hoạch phối hợp về Trí tuệ nhân tạo, COM (2018) 795 về phát triển AI ở EU. </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Cs/>
          <w:sz w:val="28"/>
          <w:szCs w:val="28"/>
          <w:lang w:val="vi-VN"/>
        </w:rPr>
        <w:t>Chương trình AI Watch sẽ giám sát và đánh giá AI từ các động lực thúc đẩy phát triển công nghệ, từ nghiên cứu đến thị trường, từ hệ sinh thái dữ liệu đến các ứng dụng; giám sát việc thực hiện Kế hoạch phối hợp bao gồm các chiến lược và đầu tư. Từ những phân tích chuyên sâu này, EU có thể hiểu rõ hơn về các lĩnh vực thế mạnh và các khu vực cần đầu tư để thúc đẩy AI ở châu Âu. AI có một loạt các ý nghĩa kinh tế và xã hội tiềm năng bao gồm các hình thức kinh tế và quản trị mới. AI Watch sẽ cung cấp đánh giá độc lập về tác động và lợi ích của AI đối với tăng trưởng, việc làm, giáo dục và xã hội.</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 xml:space="preserve">Ngành CNTT và Nghiên cứu và phát triển (R&amp;D) ngành CNTT ở châu </w:t>
      </w:r>
      <w:r>
        <w:rPr>
          <w:rFonts w:ascii="Times New Roman" w:eastAsia="Times New Roman" w:hAnsi="Times New Roman"/>
          <w:b/>
          <w:bCs/>
          <w:sz w:val="28"/>
          <w:szCs w:val="28"/>
          <w:lang w:val="vi-VN"/>
        </w:rPr>
        <w:lastRenderedPageBreak/>
        <w:t xml:space="preserve">Âu: </w:t>
      </w:r>
      <w:r>
        <w:rPr>
          <w:rFonts w:ascii="Times New Roman" w:eastAsia="Times New Roman" w:hAnsi="Times New Roman"/>
          <w:bCs/>
          <w:sz w:val="28"/>
          <w:szCs w:val="28"/>
          <w:lang w:val="vi-VN"/>
        </w:rPr>
        <w:t>CNTT làm nền tảng cho sự phát triển của nền kinh tế kỹ thuật số và đóng góp ngày càng quan trọng vào tăng trưởng kinh tế. JRC phân tích việc cung cấp CNTT và R &amp; D trong CNTT tại Châu Âu, so với các đối thủ lớn trên toàn thế giới, và giám sát thường trực ngành kinh tế CNTT từ năm 2006. Nghiên cứu này nhằm đánh giá tác động của các chính sách của EU và hướng dẫn phát triển chính sách trong tương lai trong lĩnh vực kỹ thuật số chiếm: 3% mục tiêu R&amp;D (Chương trình nghị sự Lisbon và EU2020), Chương trình nghị sự kỹ thuật số cho châu Âu, chính sách cung cấp và phát triển CNTT của các quốc gia thành viên và nói chung là Thị trường đơn kỹ thuật số châu Âu (</w:t>
      </w:r>
      <w:r>
        <w:rPr>
          <w:rFonts w:ascii="Times New Roman" w:hAnsi="Times New Roman"/>
          <w:color w:val="333333"/>
          <w:sz w:val="28"/>
          <w:szCs w:val="28"/>
          <w:shd w:val="clear" w:color="auto" w:fill="FFFFFF"/>
          <w:lang w:val="vi-VN"/>
        </w:rPr>
        <w:t>European Digital Single Market </w:t>
      </w:r>
      <w:r>
        <w:rPr>
          <w:rFonts w:ascii="Times New Roman" w:eastAsia="Times New Roman" w:hAnsi="Times New Roman"/>
          <w:bCs/>
          <w:sz w:val="28"/>
          <w:szCs w:val="28"/>
          <w:lang w:val="vi-VN"/>
        </w:rPr>
        <w:t>DSM).</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 xml:space="preserve">Đổi mới và tinh thần kinh doanh trong nền kinh tế kỹ thuật số: </w:t>
      </w:r>
      <w:r>
        <w:rPr>
          <w:rFonts w:ascii="Times New Roman" w:eastAsia="Times New Roman" w:hAnsi="Times New Roman"/>
          <w:bCs/>
          <w:sz w:val="28"/>
          <w:szCs w:val="28"/>
          <w:lang w:val="vi-VN"/>
        </w:rPr>
        <w:t>Số hóa giúp thông tin và kiến ​​thức dễ dàng lưu trữ, truy cập và sửa đổi. Công nghệ kỹ thuật số tạo ra một hệ thống truyền thông ngày càng liên kết tất cả các bộ phận của đời sống kinh tế và xã hội, kết hợp với sự tương tác giữa người dùng và nội dung sẽ tạo điều kiện cho sự kết hợp kiến ​​thức và công nghệ một cách sáng tạo. JRC đang nghiên cứu các quy trình mà tại đó các đổi mới về kỹ thuật số và khởi nghiệp diễn ra và điều kiện thúc đẩy là gì, bao gồm vai trò của Quyền sở hữu trí tuệ và việc tiêu chuẩn hóa các công nghệ phức tạp. Nghiên cứu này hỗ trợ các sáng kiến ​​chính sách như Đổi mới Radar theo H2020, Khởi nghiệp châu Âu và một thị trường kỹ thuật số.</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 xml:space="preserve">Kinh tế của một thị trường kỹ thuật số: </w:t>
      </w:r>
      <w:r>
        <w:rPr>
          <w:rFonts w:ascii="Times New Roman" w:eastAsia="Times New Roman" w:hAnsi="Times New Roman"/>
          <w:bCs/>
          <w:sz w:val="28"/>
          <w:szCs w:val="28"/>
          <w:lang w:val="vi-VN"/>
        </w:rPr>
        <w:t>JRC cung cấp các phân tích kinh tế của chương trình nghị sự thị trường kỹ thuật số châu Âu (DSM). Cụ thể, JRC đánh giá toàn diện các nền tảng trực tuyến, kiểm tra tác động kinh tế của việc thu thập &amp; phân tích dữ liệu (lớn), quyền sở hữu dữ liệu và quy định truy cập của EU. Cuối cùng, JRC phân tích chặn địa lý xuyên biên giới trong các dịch vụ trực tuyến và nội dung phương tiện kỹ thuật số, đặc biệt là nội dung phương tiện nghe nhìn.</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 xml:space="preserve">Cơ sở hạ tầng thông tin: </w:t>
      </w:r>
      <w:r>
        <w:rPr>
          <w:rFonts w:ascii="Times New Roman" w:eastAsia="Times New Roman" w:hAnsi="Times New Roman"/>
          <w:bCs/>
          <w:sz w:val="28"/>
          <w:szCs w:val="28"/>
          <w:lang w:val="vi-VN"/>
        </w:rPr>
        <w:t>Chia sẻ thông tin về các hiện tượng môi trường và xã hội là cốt lõi của Kinh tế số. Để làm như vậy, chúng ta cần một khung công nghệ, tiêu chuẩn, sắp xếp tổ chức và chính sách để có thể tìm, truy cập, sử dụng, chia sẻ và xuất bản thông tin đó, nói cách khác, chúng ta cần một cơ sở hạ tầng thông tin hoặc chính xác hơn là chúng ta cần để kết nối nhiều cơ sở hạ tầng thông tin đang được phát triển trên toàn thế giới.</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eastAsia="Times New Roman" w:hAnsi="Times New Roman"/>
          <w:b/>
          <w:bCs/>
          <w:sz w:val="28"/>
          <w:szCs w:val="28"/>
          <w:lang w:val="vi-VN"/>
        </w:rPr>
        <w:t>2. Về chiến lược một thị trường kỹ thuật số của EU (</w:t>
      </w:r>
      <w:r>
        <w:rPr>
          <w:rFonts w:ascii="Times New Roman" w:hAnsi="Times New Roman"/>
          <w:b/>
          <w:color w:val="333333"/>
          <w:sz w:val="28"/>
          <w:szCs w:val="28"/>
          <w:shd w:val="clear" w:color="auto" w:fill="FFFFFF"/>
          <w:lang w:val="vi-VN"/>
        </w:rPr>
        <w:t>European Digital Single Market </w:t>
      </w:r>
      <w:r>
        <w:rPr>
          <w:rFonts w:ascii="Times New Roman" w:eastAsia="Times New Roman" w:hAnsi="Times New Roman"/>
          <w:b/>
          <w:bCs/>
          <w:sz w:val="28"/>
          <w:szCs w:val="28"/>
          <w:lang w:val="vi-VN"/>
        </w:rPr>
        <w:t>DSM</w:t>
      </w:r>
      <w:r>
        <w:rPr>
          <w:rFonts w:ascii="Times New Roman" w:eastAsia="Times New Roman" w:hAnsi="Times New Roman"/>
          <w:bCs/>
          <w:sz w:val="28"/>
          <w:szCs w:val="28"/>
          <w:lang w:val="vi-VN"/>
        </w:rPr>
        <w:t xml:space="preserve">) </w:t>
      </w:r>
      <w:r>
        <w:rPr>
          <w:rFonts w:ascii="Times New Roman" w:eastAsia="Times New Roman" w:hAnsi="Times New Roman"/>
          <w:b/>
          <w:bCs/>
          <w:sz w:val="28"/>
          <w:szCs w:val="28"/>
          <w:lang w:val="vi-VN"/>
        </w:rPr>
        <w:t xml:space="preserve">: </w:t>
      </w:r>
    </w:p>
    <w:p w:rsidR="004B37BB" w:rsidRPr="00934941" w:rsidRDefault="004B37BB" w:rsidP="004B37BB">
      <w:pPr>
        <w:tabs>
          <w:tab w:val="left" w:pos="660"/>
        </w:tabs>
        <w:spacing w:before="60" w:after="120" w:line="360" w:lineRule="exact"/>
        <w:ind w:right="-14" w:firstLine="720"/>
        <w:jc w:val="both"/>
        <w:rPr>
          <w:lang w:val="vi-VN"/>
        </w:rPr>
      </w:pPr>
      <w:r>
        <w:rPr>
          <w:rFonts w:ascii="Times New Roman" w:hAnsi="Times New Roman"/>
          <w:sz w:val="28"/>
          <w:szCs w:val="28"/>
          <w:lang w:val="vi-VN"/>
        </w:rPr>
        <w:t xml:space="preserve">2.1 Chính sách một thị trường kỹ thuật châu Âu bao gồm tiếp thị kỹ thuật số, thương mại điện tử và viễn thông, được công bố vào tháng 5 năm 2015 bởi Ủy ban </w:t>
      </w:r>
      <w:r>
        <w:rPr>
          <w:rFonts w:ascii="Times New Roman" w:hAnsi="Times New Roman"/>
          <w:bCs/>
          <w:color w:val="222222"/>
          <w:sz w:val="28"/>
          <w:szCs w:val="28"/>
          <w:shd w:val="clear" w:color="auto" w:fill="FFFFFF"/>
          <w:lang w:val="vi-VN"/>
        </w:rPr>
        <w:t>Juncker (văn phòng thuộc Ủy ban châu Âu hoạt động từ ngày 01/11 năm 2014 đến ngày 30 tháng 11 năm 2019 thuộc Chủ tịch là Jean-Claude Juncker, chủ tịch Ủy ban châu Âu EC)</w:t>
      </w:r>
    </w:p>
    <w:p w:rsidR="004B37BB" w:rsidRDefault="004B37BB" w:rsidP="004B37BB">
      <w:pPr>
        <w:tabs>
          <w:tab w:val="left" w:pos="660"/>
        </w:tabs>
        <w:spacing w:before="60" w:after="120" w:line="360" w:lineRule="exact"/>
        <w:ind w:right="-14" w:firstLine="720"/>
        <w:jc w:val="both"/>
        <w:rPr>
          <w:rFonts w:ascii="Times New Roman" w:hAnsi="Times New Roman"/>
          <w:bCs/>
          <w:color w:val="222222"/>
          <w:sz w:val="28"/>
          <w:szCs w:val="28"/>
          <w:shd w:val="clear" w:color="auto" w:fill="FFFFFF"/>
          <w:lang w:val="vi-VN"/>
        </w:rPr>
      </w:pPr>
      <w:r>
        <w:rPr>
          <w:rFonts w:ascii="Times New Roman" w:hAnsi="Times New Roman"/>
          <w:bCs/>
          <w:color w:val="222222"/>
          <w:sz w:val="28"/>
          <w:szCs w:val="28"/>
          <w:shd w:val="clear" w:color="auto" w:fill="FFFFFF"/>
          <w:lang w:val="vi-VN"/>
        </w:rPr>
        <w:t>Theo đó, Ủy ban châu Âu đã ban hành chiến lược cho một thị trường kỹ thuật số giai đoạn 2014-2019 để tạo điều kiện cho cá nhân, doanh nghiệp có thể tiếp cận tốt nhất có thể vào thế giới trực tuyến. Thị trường đơn kỹ thuật số (DSM) là di chuyển tự do của người, dịch vụ và vốn được đảm bảo và nơi các cá nhân, doanh nghiệp có thể truy cập và tham gia trực tiếp vào các hoạt động trực tuyến trong điều kiện cạnh tranh công bằng, và bảo vệ dữ liệu của người tiêu dùng, cá nhân, không phân biệt quốc tịch hoặc nơi cư trú.</w:t>
      </w:r>
    </w:p>
    <w:p w:rsidR="004B37BB" w:rsidRDefault="004B37BB" w:rsidP="004B37BB">
      <w:pPr>
        <w:tabs>
          <w:tab w:val="left" w:pos="660"/>
        </w:tabs>
        <w:spacing w:before="60" w:after="120" w:line="360" w:lineRule="exact"/>
        <w:ind w:right="-14" w:firstLine="720"/>
        <w:jc w:val="both"/>
        <w:rPr>
          <w:rFonts w:ascii="Times New Roman" w:hAnsi="Times New Roman"/>
          <w:bCs/>
          <w:color w:val="222222"/>
          <w:sz w:val="28"/>
          <w:szCs w:val="28"/>
          <w:shd w:val="clear" w:color="auto" w:fill="FFFFFF"/>
          <w:lang w:val="vi-VN"/>
        </w:rPr>
      </w:pPr>
      <w:r>
        <w:rPr>
          <w:rFonts w:ascii="Times New Roman" w:hAnsi="Times New Roman"/>
          <w:bCs/>
          <w:color w:val="222222"/>
          <w:sz w:val="28"/>
          <w:szCs w:val="28"/>
          <w:shd w:val="clear" w:color="auto" w:fill="FFFFFF"/>
          <w:lang w:val="vi-VN"/>
        </w:rPr>
        <w:t>Ủy ban 2014-2019 đã xác định việc hoàn thành DSM là một trong 10 ưu tiên chính trị. Chiến lược DSM được xây dựng trên ba trụ cột: Truy cập: cho người tiêu dùng và doanh nghiệp tiếp cận hàng hóa và dịch vụ kỹ thuật số trên khắp châu Âu tốt hơn; Môi trường: thiết lập điều kiện phù hợp và một sân chơi bình đẳng cho các mạng kỹ thuật số và các dịch vụ sáng tạo phát triển; Kinh tế &amp; Xã hội: tối đa hóa tiềm năng tăng trưởng của nền kinh tế kỹ thuật số.</w:t>
      </w:r>
    </w:p>
    <w:p w:rsidR="004B37BB" w:rsidRDefault="004B37BB" w:rsidP="004B37BB">
      <w:pPr>
        <w:tabs>
          <w:tab w:val="left" w:pos="660"/>
        </w:tabs>
        <w:spacing w:before="60" w:after="120" w:line="360" w:lineRule="exact"/>
        <w:ind w:right="-14" w:firstLine="720"/>
        <w:jc w:val="both"/>
        <w:rPr>
          <w:rFonts w:ascii="Times New Roman" w:hAnsi="Times New Roman"/>
          <w:bCs/>
          <w:color w:val="222222"/>
          <w:sz w:val="28"/>
          <w:szCs w:val="28"/>
          <w:shd w:val="clear" w:color="auto" w:fill="FFFFFF"/>
          <w:lang w:val="vi-VN"/>
        </w:rPr>
      </w:pPr>
      <w:r>
        <w:rPr>
          <w:rFonts w:ascii="Times New Roman" w:hAnsi="Times New Roman"/>
          <w:bCs/>
          <w:color w:val="222222"/>
          <w:sz w:val="28"/>
          <w:szCs w:val="28"/>
          <w:shd w:val="clear" w:color="auto" w:fill="FFFFFF"/>
          <w:lang w:val="vi-VN"/>
        </w:rPr>
        <w:t>Thành tựu của thị trường đơn kỹ thuật số: Theo Ủy ban Juncker, 30 đề xuất lập pháp về Thị trường đơn kỹ thuật số đã được thực hiện. Vào giai đoạn cuối, 28 trong số các đề xuất lập pháp này đã được các cơ quan lập pháp đồng ý và kết quả Văn hóa số, Tương lai kỹ thuật số, Cuộc sống số, Tin cậy kỹ thuật số, Mua sắm kỹ thuật số, Kết nối kỹ thuật số</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color w:val="222222"/>
          <w:sz w:val="28"/>
          <w:szCs w:val="28"/>
          <w:shd w:val="clear" w:color="auto" w:fill="FFFFFF"/>
          <w:lang w:val="vi-VN"/>
        </w:rPr>
        <w:t>2.2</w:t>
      </w:r>
      <w:r>
        <w:rPr>
          <w:rFonts w:ascii="Times New Roman" w:hAnsi="Times New Roman"/>
          <w:bCs/>
          <w:color w:val="222222"/>
          <w:sz w:val="28"/>
          <w:szCs w:val="28"/>
          <w:shd w:val="clear" w:color="auto" w:fill="FFFFFF"/>
          <w:lang w:val="vi-VN"/>
        </w:rPr>
        <w:t xml:space="preserve"> Một Thị trường kỹ thuật số là một phần của chương trình nghị sự kỹ thuật số cho châu Âu 2020 của EU, một sáng kiến mang tính chiến lược đã được đề xuất trong Chiến lược Châu Âu 2020 (European 2020). Ngày 19/2/2020, Ủy ban Châu Âu (EC) đã công bố phác thảo các mục tiêu chính sách và chiến lược kỹ thuật số mới.</w:t>
      </w:r>
      <w:r>
        <w:rPr>
          <w:rFonts w:ascii="Times New Roman" w:hAnsi="Times New Roman"/>
          <w:sz w:val="28"/>
          <w:szCs w:val="28"/>
          <w:lang w:val="vi-VN"/>
        </w:rPr>
        <w:t xml:space="preserve"> </w:t>
      </w:r>
    </w:p>
    <w:p w:rsidR="004B37BB" w:rsidRDefault="004B37BB" w:rsidP="004B37BB">
      <w:pPr>
        <w:tabs>
          <w:tab w:val="left" w:pos="660"/>
        </w:tabs>
        <w:spacing w:before="60" w:after="120" w:line="360" w:lineRule="exact"/>
        <w:ind w:right="-20" w:firstLine="720"/>
        <w:jc w:val="both"/>
        <w:rPr>
          <w:rFonts w:ascii="Times New Roman" w:hAnsi="Times New Roman"/>
          <w:bCs/>
          <w:color w:val="222222"/>
          <w:sz w:val="28"/>
          <w:szCs w:val="28"/>
          <w:shd w:val="clear" w:color="auto" w:fill="FFFFFF"/>
          <w:lang w:val="vi-VN"/>
        </w:rPr>
      </w:pPr>
      <w:r>
        <w:rPr>
          <w:rFonts w:ascii="Times New Roman" w:hAnsi="Times New Roman"/>
          <w:bCs/>
          <w:color w:val="222222"/>
          <w:sz w:val="28"/>
          <w:szCs w:val="28"/>
          <w:shd w:val="clear" w:color="auto" w:fill="FFFFFF"/>
          <w:lang w:val="vi-VN"/>
        </w:rPr>
        <w:t>Theo đó, Ủy ban Châu Âu đã đưa ra lộ trình 5 năm với chủ đề “Định hình hình tương lai kỹ thuật số Châu Âu”. Ủy ban có kế hoạch tối đa hóa lợi ích của số hóa trong khi vẫn bảo tồn các giá trị thiết yếu của châu Âu về dân chủ, công bằng và bao hàm. Lộ trình bao gồm nhiều lĩnh vực, đầu tư, quy tắc cạnh tranh, giáo dục công nghệ, quy định nền tảng, chiến lược công nghiệp và hợp tác toàn cầu; Lộ trình bao gồm Sách trắng về AI và Chiến lược dữ liệu, hiện đang mở để tham khảo ý kiến ​​cộng đồng. Cả hai cuộc tham vấn đều mở cho đến ngày 31 tháng 5 năm 2020 và Hiệp hội Ứng dụng sẽ gửi ý kiến. Đây là một chiến lược sâu rộng nhằm đưa ra các chính sách đầy tham vọng nhằm duy trì vai trò kỹ thuật số của Châu Âu trong nền kinh tế toàn cầu dù các đề xuất vẫn còn thiếu chi tiết cụ thể.</w:t>
      </w:r>
    </w:p>
    <w:p w:rsidR="004B37BB" w:rsidRDefault="004B37BB" w:rsidP="004B37BB">
      <w:pPr>
        <w:tabs>
          <w:tab w:val="left" w:pos="660"/>
        </w:tabs>
        <w:spacing w:before="60" w:after="120" w:line="360" w:lineRule="exact"/>
        <w:ind w:right="-20" w:firstLine="720"/>
        <w:jc w:val="both"/>
        <w:rPr>
          <w:rFonts w:ascii="Times New Roman" w:hAnsi="Times New Roman"/>
          <w:bCs/>
          <w:color w:val="222222"/>
          <w:sz w:val="28"/>
          <w:szCs w:val="28"/>
          <w:shd w:val="clear" w:color="auto" w:fill="FFFFFF"/>
          <w:lang w:val="vi-VN"/>
        </w:rPr>
      </w:pPr>
      <w:r>
        <w:rPr>
          <w:rFonts w:ascii="Times New Roman" w:hAnsi="Times New Roman"/>
          <w:bCs/>
          <w:color w:val="222222"/>
          <w:sz w:val="28"/>
          <w:szCs w:val="28"/>
          <w:shd w:val="clear" w:color="auto" w:fill="FFFFFF"/>
          <w:lang w:val="vi-VN"/>
        </w:rPr>
        <w:t xml:space="preserve">- Chiến lược kỹ thuật số là một trong những sáng kiến ​​hàng đầu của Chủ tịch EC von der Leyen, mà bà đã hứa trong chiến dịch tranh cử tổng thống. Trong bối cảnh cuộc tranh luận về “chủ quyền kỹ thuật số”đang diễn ra ở châu Âu, chiến lược này có thể được phân loại là một nỗ lực để tối đa hóa tiềm năng kỹ thuật số của Liên minh châu Âu (EU) và như một phản ứng trước áp lực từ các quốc gia thành viên để điều chỉnh các nền tảng. </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i/>
          <w:color w:val="222222"/>
          <w:sz w:val="28"/>
          <w:szCs w:val="28"/>
          <w:shd w:val="clear" w:color="auto" w:fill="FFFFFF"/>
          <w:lang w:val="vi-VN"/>
        </w:rPr>
        <w:t>Mục tiêu chính của chiến lược kỹ thuật số:</w:t>
      </w:r>
      <w:r>
        <w:rPr>
          <w:rFonts w:ascii="Times New Roman" w:hAnsi="Times New Roman"/>
          <w:bCs/>
          <w:color w:val="222222"/>
          <w:sz w:val="28"/>
          <w:szCs w:val="28"/>
          <w:shd w:val="clear" w:color="auto" w:fill="FFFFFF"/>
          <w:lang w:val="vi-VN"/>
        </w:rPr>
        <w:t xml:space="preserve"> Để theo đuổi cách riêng của mình đối với việc chuyển đổi kỹ thuật số, EC đã đặt ra ba mục tiêu chính: (+) Công nghệ phù hợp với con người - sự phát triển, triển khai và tiếp thu công nghệ tạo nên sự khác biệt thực sự trong cuộc sống hàng ngày của mọi người; (+) Một nền kinh tế công bằng và cạnh tranh: việc tạo ra một thị trường duy nhất trong đó bất kỳ công ty nào trong bất kỳ lĩnh vực nào cũng có thể cạnh tranh trên một sân chơi bình đẳng và trong đó quyền của người tiêu dùng được coi trọng; (+) Một xã hội cởi mở, dân chủ và bền vững: một môi trường đáng tin cậy, trong đó công dân được trao quyền trong cách họ hành động và tương tác, và tin tưởng vào sự bảo mật của dữ liệu họ cung cấp cả trực tuyến và ngoại tuyến.</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i/>
          <w:color w:val="222222"/>
          <w:sz w:val="28"/>
          <w:szCs w:val="28"/>
          <w:shd w:val="clear" w:color="auto" w:fill="FFFFFF"/>
          <w:lang w:val="vi-VN"/>
        </w:rPr>
        <w:t>Công nghệ phù hợp với con người:</w:t>
      </w:r>
      <w:r>
        <w:rPr>
          <w:rFonts w:ascii="Times New Roman" w:hAnsi="Times New Roman"/>
          <w:bCs/>
          <w:color w:val="222222"/>
          <w:sz w:val="28"/>
          <w:szCs w:val="28"/>
          <w:shd w:val="clear" w:color="auto" w:fill="FFFFFF"/>
          <w:lang w:val="vi-VN"/>
        </w:rPr>
        <w:t xml:space="preserve"> EC muốn thúc đẩy đổi mới, tăng cường an ninh mạng, đảm bảo quyền truy cập hợp pháp vào dữ liệu và xây dựng một chuyển đổi kỹ thuật số bao gồm tổng thể có lợi cho tất cả người châu Âu. Nhìn chung, Ủy ban đề nghị các sáng kiến ​​hợp tác giữa các quốc gia thành viên để tạo ra sự phối hợp trên khắp EU. Thông qua các khoản đầu tư chiến lược vào các năng lực thiết yếu như 5G, 6G và trí tuệ nhân tạo (AI), EC muốn phát triển các công nghệ đáng tin cậy theo các giá trị châu Âu. Các quy tắc mạng nhất quán được cho là hoạt động như các hướng dẫn và tạo sự chắc chắn cho các doanh nghiệp. EC đề xuất một khuôn khổ cho việc chia sẻ thông tin chủ động để tạo thuận lợi cho sự hợp tác giữa các cơ quan thực thi pháp luật và các cơ quan tư pháp ở các quốc gia thành viên cũng như giữa các quốc gia thành viên và EU. Công dân EU sẽ được hưởng lợi từ khuôn khổ do EC đề xuất cho các công nhân nền tảng Điều kiện lao động cũng như cải thiện giáo dục và kỹ năng công nghệ. Ba mục hành động cụ thể mà EC đặt ra theo mục tiêu này là: (+) Sách trắng về trí tuệ nhân tạo; (+) Chiến lược an ninh mạng châu Âu, bao gồm cả Đơn vị an ninh mạng chung, Đánh giá về chỉ thị an ninh mạng và hệ thống thông tin (NIS) và một thị trường duy nhất cho an ninh mạng; (+) Kế hoạch Hành động Giáo dục kỹ thuật số, Chương trình nghị sự Kỹ năng (Skill Agenda) và Bảo lãnh Thanh niên (Youth Guarantee) sẽ được tăng cường (dự kiến vào quý 2 năm 2020)</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i/>
          <w:color w:val="222222"/>
          <w:sz w:val="28"/>
          <w:szCs w:val="28"/>
          <w:shd w:val="clear" w:color="auto" w:fill="FFFFFF"/>
          <w:lang w:val="vi-VN"/>
        </w:rPr>
        <w:t>Một nền kinh tế công bằng và cạnh tranh:</w:t>
      </w:r>
      <w:r>
        <w:rPr>
          <w:rFonts w:ascii="Times New Roman" w:hAnsi="Times New Roman"/>
          <w:bCs/>
          <w:color w:val="222222"/>
          <w:sz w:val="28"/>
          <w:szCs w:val="28"/>
          <w:shd w:val="clear" w:color="auto" w:fill="FFFFFF"/>
          <w:lang w:val="vi-VN"/>
        </w:rPr>
        <w:t xml:space="preserve"> EC nhấn mạnh, đặc biệt, các doanh nghiệp vừa và nhỏ phải có khả năng tiếp cận các sáng kiến ​​kỹ thuật số, tài năng công nghệ và tài chính để hưởng lợi tốt nhất từ các cơ hội do công nghệ mới mang lại. Ngoài ra, để các doanh nghiệp vừa và nhỏ phát triển mạnh ở thị trường EU, EC đề xuất hợp lý hóa các quy định địa phương hoặc quốc gia và tạo ra một thị trường duy nhất cho dữ liệu (như được nêu trong Chiến lược dữ liệu). EC cũng khẳng định rằng một nền kinh tế châu Âu cạnh tranh phải ít phụ thuộc vào các giải pháp công nghệ được tạo ra bên ngoài EU. Trong thị trường châu Âu, EC muốn đảm bảo rằng các quy tắc áp dụng ngoại tuyến cũng được áp dụng trực tuyến - bao gồm các quy tắc cạnh tranh, bảo vệ người tiêu dùng, sở hữu trí tuệ, thuế và quyền của người lao động. Ba mục hành động cụ thể mà EC đặt ra theo mục tiêu này là: (+) Chiến lược dữ liệu châu Âu và khung pháp lý về quản trị dữ liệu (Đạo luật dữ liệu) (sẽ được phát hành vào quý 2 năm 2020); (+) Đánh giá về các quy tắc cạnh tranh của EU (2020 - 2023); (+) Gói chiến lược công nghiệp, bao gồm cả chiến lược dành cho doanh nghiệp vừa và nhỏ ngày 10 tháng 3 năm 2020). </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i/>
          <w:color w:val="222222"/>
          <w:sz w:val="28"/>
          <w:szCs w:val="28"/>
          <w:shd w:val="clear" w:color="auto" w:fill="FFFFFF"/>
          <w:lang w:val="vi-VN"/>
        </w:rPr>
        <w:t xml:space="preserve">Một xã hội cởi mở, dân chủ và bền vững: </w:t>
      </w:r>
      <w:r>
        <w:rPr>
          <w:rFonts w:ascii="Times New Roman" w:hAnsi="Times New Roman"/>
          <w:bCs/>
          <w:color w:val="222222"/>
          <w:sz w:val="28"/>
          <w:szCs w:val="28"/>
          <w:shd w:val="clear" w:color="auto" w:fill="FFFFFF"/>
          <w:lang w:val="vi-VN"/>
        </w:rPr>
        <w:t>EC một lần nữa khẳng định rằng các quy tắc tương tự về những hoạt động bất hợp pháp phải được áp dụng cả  ngoại tuyến hoặc trực tuyến. Theo đó, EC đã có kế hoạch phát triển và thực hiện nhiều quy tắc hơn như Quy tắc bảo vệ dữ liệu (General DataProtection Regulation GDPR) để tạo ra một xã hội kỹ thuật số đáng tin cậy, công bằng và dễ tiếp cận với tất cả mọi người. Trong một xã hội như vậy, người tiêu dùng nên được trao quyền kiểm soát dữ liệu bằng cách sử dụng danh tính điện tử công cộng và quyền truy cập vào các dịch vụ y tế nên được tăng lên cho tất cả thông qua việc tạo hồ sơ sức khỏe số hóa. Đối với những người nắm giữ dữ liệu, EC có kế hoạch tăng tính trách nhiệm và minh bạch. Cuối cùng, EC muốn sử dụng các công nghệ để thực hiện Thỏa thuận mới xanh của mình và hướng tới việc giảm lượng khí thải carbon của lĩnh vực kỹ thuật số. Ba mục hành động cụ thể mà EC đặt ra theo mục tiêu này là: (+)Tăng cường và hài hòa các trách nhiệm như chính sách nội dung của các nền tảng và nhà cung cấp dịch vụ thông tin như là một phần của Đạo luật Dịch vụ Kỹ thuật số (Q4 2020); (+) Kế hoạch hành động nghe nhìn và truyền thông (Q4 2020); (+) Kế hoạch hành động dân chủ châu Âu (Q4 2020)</w:t>
      </w:r>
    </w:p>
    <w:p w:rsidR="004B37BB" w:rsidRPr="00934941" w:rsidRDefault="004B37BB" w:rsidP="004B37BB">
      <w:pPr>
        <w:tabs>
          <w:tab w:val="left" w:pos="660"/>
        </w:tabs>
        <w:spacing w:before="60" w:after="120" w:line="360" w:lineRule="exact"/>
        <w:ind w:right="-20" w:firstLine="720"/>
        <w:jc w:val="both"/>
        <w:rPr>
          <w:lang w:val="vi-VN"/>
        </w:rPr>
      </w:pPr>
      <w:r>
        <w:rPr>
          <w:rFonts w:ascii="Times New Roman" w:hAnsi="Times New Roman"/>
          <w:b/>
          <w:bCs/>
          <w:i/>
          <w:color w:val="222222"/>
          <w:sz w:val="28"/>
          <w:szCs w:val="28"/>
          <w:shd w:val="clear" w:color="auto" w:fill="FFFFFF"/>
          <w:lang w:val="vi-VN"/>
        </w:rPr>
        <w:t>Vai trò quốc tế - Châu Âu với tư cách là người chơi toàn cầu</w:t>
      </w:r>
      <w:r>
        <w:rPr>
          <w:rFonts w:ascii="Times New Roman" w:hAnsi="Times New Roman"/>
          <w:b/>
          <w:bCs/>
          <w:color w:val="222222"/>
          <w:sz w:val="28"/>
          <w:szCs w:val="28"/>
          <w:shd w:val="clear" w:color="auto" w:fill="FFFFFF"/>
          <w:lang w:val="vi-VN"/>
        </w:rPr>
        <w:t xml:space="preserve">: </w:t>
      </w:r>
      <w:r>
        <w:rPr>
          <w:rFonts w:ascii="Times New Roman" w:hAnsi="Times New Roman"/>
          <w:bCs/>
          <w:color w:val="222222"/>
          <w:sz w:val="28"/>
          <w:szCs w:val="28"/>
          <w:shd w:val="clear" w:color="auto" w:fill="FFFFFF"/>
          <w:lang w:val="vi-VN"/>
        </w:rPr>
        <w:t>EC khẳng định rằng EU nên tiếp tục thúc đẩy cách tiếp cận của châu Âu thông qua sức mạnh pháp lý, năng lực công nghiệp và công nghệ cũng như thông qua các công cụ ngoại giao và tài chính. EC có kế hoạch phát hành Chiến lược hợp tác kỹ thuật số toàn cầu (2021) và Chiến lược tiêu chuẩn hóa (quý 3 năm 2020). EC kết luận rằng việc chuyển đổi kỹ thuật số cần phải có hiệu quả đối với mọi người ở khắp mọi nơi trong EU, đồng thời nhận ra rằng mọi người cần tham gia để thành công - bao gồm chính EU, các quốc gia thành viên, xã hội dân sự và khu vực tư nhân.</w:t>
      </w:r>
    </w:p>
    <w:p w:rsidR="00664B32" w:rsidRPr="004B37BB" w:rsidRDefault="00664B32">
      <w:pPr>
        <w:rPr>
          <w:lang w:val="vi-VN"/>
        </w:rPr>
      </w:pPr>
      <w:bookmarkStart w:id="0" w:name="_GoBack"/>
      <w:bookmarkEnd w:id="0"/>
    </w:p>
    <w:sectPr w:rsidR="00664B32" w:rsidRPr="004B37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7BB"/>
    <w:rsid w:val="004B37BB"/>
    <w:rsid w:val="00664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B37BB"/>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B37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B37BB"/>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B37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c.europa.eu/digital-single-market/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2003</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2020-08-12T09:28:00Z</dcterms:created>
  <dcterms:modified xsi:type="dcterms:W3CDTF">2020-08-12T09:29:00Z</dcterms:modified>
</cp:coreProperties>
</file>